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FBB7" w14:textId="77777777" w:rsidR="00D51F6C" w:rsidRPr="00F715E7" w:rsidRDefault="00D51F6C" w:rsidP="001E1EF8">
      <w:pPr>
        <w:pStyle w:val="Textodebloque1"/>
        <w:ind w:left="3969"/>
        <w:rPr>
          <w:rFonts w:cs="Arial"/>
          <w:sz w:val="26"/>
          <w:szCs w:val="26"/>
        </w:rPr>
      </w:pPr>
      <w:r w:rsidRPr="00F715E7">
        <w:rPr>
          <w:rFonts w:cs="Arial"/>
          <w:sz w:val="26"/>
          <w:szCs w:val="26"/>
        </w:rPr>
        <w:t>ACCIÓN DE INCONSTITUCIONALIDAD 3/2022 Y SUS ACUMULADAS 8/2022, 10/2022, 16/2022 Y 17/2022</w:t>
      </w:r>
    </w:p>
    <w:p w14:paraId="68CD78C4" w14:textId="75994215" w:rsidR="00D51F6C" w:rsidRPr="00F715E7" w:rsidRDefault="00D51F6C" w:rsidP="001E1EF8">
      <w:pPr>
        <w:pStyle w:val="Textodebloque1"/>
        <w:ind w:left="3969"/>
        <w:rPr>
          <w:rFonts w:cs="Arial"/>
          <w:sz w:val="26"/>
          <w:szCs w:val="26"/>
        </w:rPr>
      </w:pPr>
      <w:r w:rsidRPr="00685714">
        <w:rPr>
          <w:rFonts w:cs="Arial"/>
          <w:sz w:val="26"/>
          <w:szCs w:val="26"/>
        </w:rPr>
        <w:t>PROMOVENTES: PARTIDO DEL</w:t>
      </w:r>
      <w:r w:rsidRPr="00F715E7">
        <w:rPr>
          <w:rFonts w:cs="Arial"/>
          <w:sz w:val="26"/>
          <w:szCs w:val="26"/>
        </w:rPr>
        <w:t xml:space="preserve"> TRABAJO, PARTIDO VERDE ECOLOGISTA DE MÉXICO, PARTIDO DE LA REVOLUCIÓN DEMOCRÁTICA, PARTIDO ACCIÓN NACIONAL Y PARTIDO REVOLUCIONARIO INSTITUCIONAL</w:t>
      </w:r>
    </w:p>
    <w:p w14:paraId="13891C16" w14:textId="77777777" w:rsidR="008F23BE" w:rsidRPr="00F715E7" w:rsidRDefault="008F23BE" w:rsidP="001E1EF8">
      <w:pPr>
        <w:pStyle w:val="Textodebloque1"/>
        <w:ind w:left="3969"/>
        <w:rPr>
          <w:rFonts w:cs="Arial"/>
          <w:szCs w:val="24"/>
        </w:rPr>
      </w:pPr>
    </w:p>
    <w:p w14:paraId="3E062B3E" w14:textId="77777777" w:rsidR="008F23BE" w:rsidRPr="00F715E7" w:rsidRDefault="008F23BE" w:rsidP="0098787A">
      <w:pPr>
        <w:spacing w:before="0" w:after="0" w:line="240" w:lineRule="auto"/>
        <w:ind w:right="6713"/>
        <w:rPr>
          <w:sz w:val="16"/>
        </w:rPr>
      </w:pPr>
      <w:r w:rsidRPr="00F715E7">
        <w:rPr>
          <w:sz w:val="16"/>
        </w:rPr>
        <w:t xml:space="preserve">VISTO BUENO </w:t>
      </w:r>
    </w:p>
    <w:p w14:paraId="0DB5C983" w14:textId="77777777" w:rsidR="008F23BE" w:rsidRPr="00F715E7" w:rsidRDefault="008F23BE" w:rsidP="0098787A">
      <w:pPr>
        <w:spacing w:before="0" w:after="0" w:line="240" w:lineRule="auto"/>
        <w:ind w:right="6713"/>
        <w:rPr>
          <w:sz w:val="16"/>
        </w:rPr>
      </w:pPr>
      <w:r w:rsidRPr="00F715E7">
        <w:rPr>
          <w:sz w:val="16"/>
        </w:rPr>
        <w:t>SRA. MINISTRA</w:t>
      </w:r>
    </w:p>
    <w:p w14:paraId="12004DDB" w14:textId="77777777" w:rsidR="008F23BE" w:rsidRPr="00F715E7" w:rsidRDefault="008F23BE" w:rsidP="0098787A">
      <w:pPr>
        <w:spacing w:before="0" w:after="0" w:line="240" w:lineRule="auto"/>
        <w:outlineLvl w:val="0"/>
        <w:rPr>
          <w:b/>
          <w:caps/>
          <w:spacing w:val="-18"/>
          <w:sz w:val="26"/>
          <w:szCs w:val="26"/>
          <w:lang w:eastAsia="es-MX"/>
        </w:rPr>
      </w:pPr>
      <w:r w:rsidRPr="00F715E7">
        <w:rPr>
          <w:b/>
          <w:caps/>
          <w:spacing w:val="-18"/>
          <w:sz w:val="26"/>
          <w:szCs w:val="26"/>
          <w:lang w:eastAsia="es-MX"/>
        </w:rPr>
        <w:t>PONENTE: Ministra loretta ortiz ahlf</w:t>
      </w:r>
    </w:p>
    <w:p w14:paraId="30B784EE" w14:textId="77777777" w:rsidR="008F23BE" w:rsidRPr="00F715E7" w:rsidRDefault="008F23BE" w:rsidP="0098787A">
      <w:pPr>
        <w:autoSpaceDE w:val="0"/>
        <w:autoSpaceDN w:val="0"/>
        <w:adjustRightInd w:val="0"/>
        <w:spacing w:before="0" w:after="0" w:line="240" w:lineRule="auto"/>
        <w:outlineLvl w:val="0"/>
        <w:rPr>
          <w:b/>
          <w:sz w:val="16"/>
        </w:rPr>
      </w:pPr>
    </w:p>
    <w:p w14:paraId="0B73650C" w14:textId="77777777" w:rsidR="008F23BE" w:rsidRPr="00F715E7" w:rsidRDefault="008F23BE" w:rsidP="0098787A">
      <w:pPr>
        <w:spacing w:before="0" w:after="0" w:line="240" w:lineRule="auto"/>
        <w:rPr>
          <w:bCs/>
          <w:sz w:val="16"/>
        </w:rPr>
      </w:pPr>
      <w:r w:rsidRPr="00F715E7">
        <w:rPr>
          <w:bCs/>
          <w:sz w:val="16"/>
        </w:rPr>
        <w:t>COTEJÓ</w:t>
      </w:r>
    </w:p>
    <w:p w14:paraId="64F834E1" w14:textId="77777777" w:rsidR="008F23BE" w:rsidRPr="00F715E7" w:rsidRDefault="008F23BE" w:rsidP="0098787A">
      <w:pPr>
        <w:spacing w:before="0" w:after="0" w:line="240" w:lineRule="auto"/>
        <w:rPr>
          <w:b/>
          <w:sz w:val="26"/>
          <w:szCs w:val="26"/>
        </w:rPr>
      </w:pPr>
      <w:r w:rsidRPr="00F715E7">
        <w:rPr>
          <w:b/>
          <w:sz w:val="26"/>
          <w:szCs w:val="26"/>
        </w:rPr>
        <w:t>SECRETARIA: DIANA RANGEL LEÓN</w:t>
      </w:r>
    </w:p>
    <w:p w14:paraId="21118C6F" w14:textId="77777777" w:rsidR="008F23BE" w:rsidRPr="00F715E7" w:rsidRDefault="008F23BE" w:rsidP="0098787A">
      <w:pPr>
        <w:spacing w:before="0" w:after="0" w:line="240" w:lineRule="auto"/>
        <w:rPr>
          <w:b/>
          <w:sz w:val="26"/>
          <w:szCs w:val="26"/>
        </w:rPr>
      </w:pPr>
      <w:r w:rsidRPr="00F715E7">
        <w:rPr>
          <w:b/>
          <w:sz w:val="26"/>
          <w:szCs w:val="26"/>
        </w:rPr>
        <w:t>SECRETARIO AUXILIAR: RAMÓN JURADO GUERRERO</w:t>
      </w:r>
    </w:p>
    <w:p w14:paraId="0252499C" w14:textId="77678F3F" w:rsidR="00711EFA" w:rsidRPr="00F715E7" w:rsidRDefault="00711EFA" w:rsidP="0098787A">
      <w:pPr>
        <w:autoSpaceDE w:val="0"/>
        <w:autoSpaceDN w:val="0"/>
        <w:adjustRightInd w:val="0"/>
        <w:spacing w:before="0" w:after="0" w:line="240" w:lineRule="auto"/>
        <w:outlineLvl w:val="0"/>
        <w:rPr>
          <w:b/>
          <w:bCs/>
          <w:caps/>
          <w:sz w:val="24"/>
          <w:szCs w:val="24"/>
          <w:lang w:eastAsia="es-MX"/>
        </w:rPr>
      </w:pPr>
    </w:p>
    <w:p w14:paraId="550C9DB3" w14:textId="77B08E80" w:rsidR="00711EFA" w:rsidRPr="00F715E7" w:rsidRDefault="00711EFA" w:rsidP="001E1EF8">
      <w:pPr>
        <w:pStyle w:val="Textodebloque1"/>
        <w:ind w:left="3828"/>
        <w:rPr>
          <w:rFonts w:cs="Arial"/>
          <w:szCs w:val="24"/>
        </w:rPr>
      </w:pPr>
    </w:p>
    <w:p w14:paraId="01361E50" w14:textId="77777777" w:rsidR="00711EFA" w:rsidRPr="00F715E7" w:rsidRDefault="00711EFA" w:rsidP="001E1EF8">
      <w:pPr>
        <w:widowControl w:val="0"/>
        <w:autoSpaceDE w:val="0"/>
        <w:autoSpaceDN w:val="0"/>
        <w:spacing w:before="0" w:after="0" w:line="240" w:lineRule="auto"/>
        <w:ind w:right="49"/>
        <w:jc w:val="center"/>
        <w:outlineLvl w:val="0"/>
        <w:rPr>
          <w:rFonts w:eastAsia="Arial"/>
          <w:b/>
          <w:bCs/>
          <w:sz w:val="24"/>
          <w:szCs w:val="24"/>
          <w:lang w:eastAsia="es-MX" w:bidi="es-MX"/>
        </w:rPr>
      </w:pPr>
      <w:r w:rsidRPr="00F715E7">
        <w:rPr>
          <w:rFonts w:eastAsia="Arial"/>
          <w:b/>
          <w:bCs/>
          <w:sz w:val="24"/>
          <w:szCs w:val="24"/>
          <w:lang w:eastAsia="es-MX" w:bidi="es-MX"/>
        </w:rPr>
        <w:t>ÍNDICE TEMÁTICO</w:t>
      </w:r>
    </w:p>
    <w:p w14:paraId="4B57C53A" w14:textId="3FE88EDF" w:rsidR="00711EFA" w:rsidRPr="00F715E7" w:rsidRDefault="00711EFA" w:rsidP="001E1EF8">
      <w:pPr>
        <w:pStyle w:val="Textodebloque1"/>
        <w:ind w:left="3828"/>
        <w:rPr>
          <w:rFonts w:cs="Arial"/>
          <w:sz w:val="22"/>
          <w:szCs w:val="22"/>
        </w:rPr>
      </w:pPr>
    </w:p>
    <w:tbl>
      <w:tblPr>
        <w:tblStyle w:val="Tabladelista3-nfasis3"/>
        <w:tblpPr w:leftFromText="141" w:rightFromText="141" w:vertAnchor="text" w:tblpX="-10" w:tblpY="1"/>
        <w:tblW w:w="8926" w:type="dxa"/>
        <w:tblLayout w:type="fixed"/>
        <w:tblLook w:val="04A0" w:firstRow="1" w:lastRow="0" w:firstColumn="1" w:lastColumn="0" w:noHBand="0" w:noVBand="1"/>
      </w:tblPr>
      <w:tblGrid>
        <w:gridCol w:w="562"/>
        <w:gridCol w:w="2127"/>
        <w:gridCol w:w="5244"/>
        <w:gridCol w:w="993"/>
      </w:tblGrid>
      <w:tr w:rsidR="00CF035E" w:rsidRPr="00F715E7" w14:paraId="3AB3627F" w14:textId="77777777" w:rsidTr="004A0EEA">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tcPr>
          <w:p w14:paraId="6593CC30" w14:textId="77777777" w:rsidR="006100CC" w:rsidRPr="00F715E7" w:rsidRDefault="006100CC" w:rsidP="0098787A">
            <w:pPr>
              <w:spacing w:before="0" w:after="0" w:line="240" w:lineRule="auto"/>
              <w:jc w:val="center"/>
              <w:rPr>
                <w:b w:val="0"/>
                <w:bCs w:val="0"/>
                <w:color w:val="auto"/>
                <w:sz w:val="21"/>
                <w:szCs w:val="21"/>
                <w:lang w:val="es-ES_tradnl"/>
              </w:rPr>
            </w:pPr>
          </w:p>
        </w:tc>
        <w:tc>
          <w:tcPr>
            <w:tcW w:w="2127" w:type="dxa"/>
            <w:tcBorders>
              <w:top w:val="single" w:sz="4" w:space="0" w:color="auto"/>
              <w:left w:val="single" w:sz="4" w:space="0" w:color="auto"/>
              <w:bottom w:val="single" w:sz="4" w:space="0" w:color="auto"/>
              <w:right w:val="single" w:sz="4" w:space="0" w:color="auto"/>
            </w:tcBorders>
            <w:vAlign w:val="center"/>
          </w:tcPr>
          <w:p w14:paraId="720D3117" w14:textId="77777777" w:rsidR="006100CC" w:rsidRPr="00F715E7" w:rsidRDefault="006100CC" w:rsidP="0098787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1"/>
                <w:szCs w:val="21"/>
                <w:lang w:val="es-ES_tradnl"/>
              </w:rPr>
            </w:pPr>
            <w:r w:rsidRPr="00F715E7">
              <w:rPr>
                <w:color w:val="auto"/>
                <w:sz w:val="21"/>
                <w:szCs w:val="21"/>
                <w:lang w:val="es-ES_tradnl"/>
              </w:rPr>
              <w:t>Apartado</w:t>
            </w:r>
          </w:p>
        </w:tc>
        <w:tc>
          <w:tcPr>
            <w:tcW w:w="5244" w:type="dxa"/>
            <w:tcBorders>
              <w:top w:val="single" w:sz="4" w:space="0" w:color="auto"/>
              <w:left w:val="single" w:sz="4" w:space="0" w:color="auto"/>
              <w:bottom w:val="single" w:sz="4" w:space="0" w:color="auto"/>
              <w:right w:val="single" w:sz="4" w:space="0" w:color="auto"/>
            </w:tcBorders>
            <w:vAlign w:val="center"/>
          </w:tcPr>
          <w:p w14:paraId="7F212F85" w14:textId="77777777" w:rsidR="006100CC" w:rsidRPr="00F715E7" w:rsidRDefault="006100CC" w:rsidP="0098787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1"/>
                <w:szCs w:val="21"/>
                <w:lang w:val="es-ES_tradnl"/>
              </w:rPr>
            </w:pPr>
            <w:r w:rsidRPr="00F715E7">
              <w:rPr>
                <w:color w:val="auto"/>
                <w:sz w:val="21"/>
                <w:szCs w:val="21"/>
                <w:lang w:val="es-ES_tradnl"/>
              </w:rPr>
              <w:t>Criterio y decisión</w:t>
            </w:r>
          </w:p>
        </w:tc>
        <w:tc>
          <w:tcPr>
            <w:tcW w:w="993" w:type="dxa"/>
            <w:tcBorders>
              <w:top w:val="single" w:sz="4" w:space="0" w:color="auto"/>
              <w:left w:val="single" w:sz="4" w:space="0" w:color="auto"/>
              <w:bottom w:val="single" w:sz="4" w:space="0" w:color="auto"/>
              <w:right w:val="single" w:sz="4" w:space="0" w:color="auto"/>
            </w:tcBorders>
            <w:vAlign w:val="center"/>
          </w:tcPr>
          <w:p w14:paraId="3728FE5F" w14:textId="77777777" w:rsidR="006100CC" w:rsidRPr="00F715E7" w:rsidRDefault="006100CC" w:rsidP="0098787A">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lang w:val="es-ES_tradnl"/>
              </w:rPr>
            </w:pPr>
            <w:r w:rsidRPr="00F715E7">
              <w:rPr>
                <w:color w:val="auto"/>
                <w:sz w:val="22"/>
                <w:szCs w:val="22"/>
                <w:lang w:val="es-ES_tradnl"/>
              </w:rPr>
              <w:t>Págs.</w:t>
            </w:r>
          </w:p>
        </w:tc>
      </w:tr>
      <w:tr w:rsidR="00CF035E" w:rsidRPr="00F715E7" w14:paraId="3D27FAA8" w14:textId="77777777" w:rsidTr="004A0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tcPr>
          <w:p w14:paraId="0ED66FC4" w14:textId="5AF3EB12" w:rsidR="006100CC" w:rsidRPr="00F715E7" w:rsidRDefault="006100CC" w:rsidP="004A0EEA">
            <w:pPr>
              <w:spacing w:before="0" w:after="0" w:line="240" w:lineRule="auto"/>
              <w:jc w:val="center"/>
              <w:rPr>
                <w:sz w:val="21"/>
                <w:szCs w:val="21"/>
                <w:lang w:val="es-ES_tradnl"/>
              </w:rPr>
            </w:pPr>
            <w:r w:rsidRPr="00F715E7">
              <w:rPr>
                <w:sz w:val="21"/>
                <w:szCs w:val="21"/>
                <w:lang w:val="es-ES_tradnl"/>
              </w:rPr>
              <w:t>I.</w:t>
            </w:r>
          </w:p>
        </w:tc>
        <w:tc>
          <w:tcPr>
            <w:tcW w:w="2127" w:type="dxa"/>
            <w:tcBorders>
              <w:top w:val="single" w:sz="4" w:space="0" w:color="auto"/>
              <w:left w:val="single" w:sz="4" w:space="0" w:color="auto"/>
              <w:bottom w:val="single" w:sz="4" w:space="0" w:color="auto"/>
              <w:right w:val="single" w:sz="4" w:space="0" w:color="auto"/>
            </w:tcBorders>
            <w:vAlign w:val="center"/>
          </w:tcPr>
          <w:p w14:paraId="538A6C92" w14:textId="77777777" w:rsidR="006100CC" w:rsidRPr="00F715E7" w:rsidRDefault="006100CC" w:rsidP="0098787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bCs/>
                <w:sz w:val="21"/>
                <w:szCs w:val="21"/>
                <w:lang w:val="es-ES_tradnl"/>
              </w:rPr>
            </w:pPr>
            <w:r w:rsidRPr="00F715E7">
              <w:rPr>
                <w:b/>
                <w:bCs/>
                <w:sz w:val="21"/>
                <w:szCs w:val="21"/>
                <w:lang w:val="es-ES_tradnl"/>
              </w:rPr>
              <w:t>COMPETENCIA</w:t>
            </w:r>
          </w:p>
        </w:tc>
        <w:tc>
          <w:tcPr>
            <w:tcW w:w="5244" w:type="dxa"/>
            <w:tcBorders>
              <w:top w:val="single" w:sz="4" w:space="0" w:color="auto"/>
              <w:left w:val="single" w:sz="4" w:space="0" w:color="auto"/>
              <w:bottom w:val="single" w:sz="4" w:space="0" w:color="auto"/>
              <w:right w:val="single" w:sz="4" w:space="0" w:color="auto"/>
            </w:tcBorders>
            <w:vAlign w:val="center"/>
          </w:tcPr>
          <w:p w14:paraId="007409FD" w14:textId="77777777" w:rsidR="006100CC" w:rsidRPr="00F715E7" w:rsidRDefault="006100CC" w:rsidP="0098787A">
            <w:pPr>
              <w:spacing w:before="0" w:after="0" w:line="240" w:lineRule="auto"/>
              <w:cnfStyle w:val="000000100000" w:firstRow="0" w:lastRow="0" w:firstColumn="0" w:lastColumn="0" w:oddVBand="0" w:evenVBand="0" w:oddHBand="1" w:evenHBand="0" w:firstRowFirstColumn="0" w:firstRowLastColumn="0" w:lastRowFirstColumn="0" w:lastRowLastColumn="0"/>
              <w:rPr>
                <w:sz w:val="21"/>
                <w:szCs w:val="21"/>
                <w:lang w:val="es-ES_tradnl"/>
              </w:rPr>
            </w:pPr>
            <w:r w:rsidRPr="00F715E7">
              <w:rPr>
                <w:sz w:val="21"/>
                <w:szCs w:val="21"/>
              </w:rPr>
              <w:t xml:space="preserve">El Pleno de la Suprema Corte de Justicia de la Nación es </w:t>
            </w:r>
            <w:r w:rsidRPr="00F715E7">
              <w:rPr>
                <w:b/>
                <w:bCs/>
                <w:sz w:val="21"/>
                <w:szCs w:val="21"/>
              </w:rPr>
              <w:t>competente para conocer del presente asunto.</w:t>
            </w:r>
          </w:p>
        </w:tc>
        <w:tc>
          <w:tcPr>
            <w:tcW w:w="993" w:type="dxa"/>
            <w:tcBorders>
              <w:top w:val="single" w:sz="4" w:space="0" w:color="auto"/>
              <w:left w:val="single" w:sz="4" w:space="0" w:color="auto"/>
              <w:bottom w:val="single" w:sz="4" w:space="0" w:color="auto"/>
              <w:right w:val="single" w:sz="4" w:space="0" w:color="auto"/>
            </w:tcBorders>
            <w:vAlign w:val="center"/>
          </w:tcPr>
          <w:p w14:paraId="7EAFE66E" w14:textId="10A0A3FF" w:rsidR="006100CC" w:rsidRPr="00F715E7" w:rsidRDefault="00FB5853" w:rsidP="0098787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sz w:val="22"/>
                <w:szCs w:val="22"/>
                <w:lang w:val="es-ES_tradnl"/>
              </w:rPr>
            </w:pPr>
            <w:r w:rsidRPr="00F715E7">
              <w:rPr>
                <w:sz w:val="22"/>
                <w:szCs w:val="22"/>
                <w:lang w:val="es-ES_tradnl"/>
              </w:rPr>
              <w:t>3</w:t>
            </w:r>
            <w:r w:rsidR="00B66133" w:rsidRPr="00F715E7">
              <w:rPr>
                <w:sz w:val="22"/>
                <w:szCs w:val="22"/>
                <w:lang w:val="es-ES_tradnl"/>
              </w:rPr>
              <w:t>1</w:t>
            </w:r>
          </w:p>
        </w:tc>
      </w:tr>
      <w:tr w:rsidR="00CF035E" w:rsidRPr="00F715E7" w14:paraId="0A1B70D5" w14:textId="77777777" w:rsidTr="004A0EEA">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tcPr>
          <w:p w14:paraId="41C7C53D" w14:textId="5A8DFC63" w:rsidR="006100CC" w:rsidRPr="00F715E7" w:rsidRDefault="006100CC" w:rsidP="004A0EEA">
            <w:pPr>
              <w:spacing w:before="0" w:after="0" w:line="240" w:lineRule="auto"/>
              <w:jc w:val="center"/>
              <w:rPr>
                <w:sz w:val="21"/>
                <w:szCs w:val="21"/>
                <w:lang w:val="es-ES_tradnl"/>
              </w:rPr>
            </w:pPr>
            <w:r w:rsidRPr="00F715E7">
              <w:rPr>
                <w:sz w:val="21"/>
                <w:szCs w:val="21"/>
                <w:lang w:val="es-ES_tradnl"/>
              </w:rPr>
              <w:t>II.</w:t>
            </w:r>
          </w:p>
        </w:tc>
        <w:tc>
          <w:tcPr>
            <w:tcW w:w="2127" w:type="dxa"/>
            <w:tcBorders>
              <w:top w:val="single" w:sz="4" w:space="0" w:color="auto"/>
              <w:left w:val="single" w:sz="4" w:space="0" w:color="auto"/>
              <w:bottom w:val="single" w:sz="4" w:space="0" w:color="auto"/>
              <w:right w:val="single" w:sz="4" w:space="0" w:color="auto"/>
            </w:tcBorders>
            <w:vAlign w:val="center"/>
          </w:tcPr>
          <w:p w14:paraId="27E69692" w14:textId="691EDD3E" w:rsidR="006100CC" w:rsidRPr="00F715E7" w:rsidRDefault="006100CC" w:rsidP="009878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21"/>
                <w:szCs w:val="21"/>
                <w:lang w:val="es-ES_tradnl"/>
              </w:rPr>
            </w:pPr>
            <w:r w:rsidRPr="00F715E7">
              <w:rPr>
                <w:b/>
                <w:bCs/>
                <w:sz w:val="21"/>
                <w:szCs w:val="21"/>
                <w:lang w:val="es-ES_tradnl"/>
              </w:rPr>
              <w:t>PRECISIÓN DE LA NORMA RECLAMADA</w:t>
            </w:r>
          </w:p>
        </w:tc>
        <w:tc>
          <w:tcPr>
            <w:tcW w:w="5244" w:type="dxa"/>
            <w:tcBorders>
              <w:top w:val="single" w:sz="4" w:space="0" w:color="auto"/>
              <w:left w:val="single" w:sz="4" w:space="0" w:color="auto"/>
              <w:bottom w:val="single" w:sz="4" w:space="0" w:color="auto"/>
              <w:right w:val="single" w:sz="4" w:space="0" w:color="auto"/>
            </w:tcBorders>
            <w:vAlign w:val="center"/>
          </w:tcPr>
          <w:p w14:paraId="3F98B27A" w14:textId="46DD4154" w:rsidR="006100CC" w:rsidRPr="00F715E7" w:rsidRDefault="00984346"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21"/>
                <w:szCs w:val="21"/>
                <w:lang w:val="es-ES_tradnl"/>
              </w:rPr>
            </w:pPr>
            <w:r w:rsidRPr="00F715E7">
              <w:rPr>
                <w:sz w:val="21"/>
                <w:szCs w:val="21"/>
                <w:lang w:val="es-ES_tradnl"/>
              </w:rPr>
              <w:t xml:space="preserve">La norma aquí impugnada es </w:t>
            </w:r>
            <w:r w:rsidRPr="00F715E7">
              <w:rPr>
                <w:b/>
                <w:bCs/>
                <w:sz w:val="21"/>
                <w:szCs w:val="21"/>
                <w:lang w:val="es-ES_tradnl"/>
              </w:rPr>
              <w:t>el artículo 50, apartado A, fracción I, del Código Electoral para el Estado de Veracruz</w:t>
            </w:r>
            <w:r w:rsidRPr="00F715E7">
              <w:rPr>
                <w:sz w:val="21"/>
                <w:szCs w:val="21"/>
                <w:lang w:val="es-ES_tradnl"/>
              </w:rPr>
              <w:t>, reformado mediante el Decreto número 2, publicado el veintiocho de diciembre de dos mil veintiuno en la Gaceta Oficial del Estado de Veracruz de Ignacio de la Llave.</w:t>
            </w:r>
          </w:p>
        </w:tc>
        <w:tc>
          <w:tcPr>
            <w:tcW w:w="993" w:type="dxa"/>
            <w:tcBorders>
              <w:top w:val="single" w:sz="4" w:space="0" w:color="auto"/>
              <w:left w:val="single" w:sz="4" w:space="0" w:color="auto"/>
              <w:bottom w:val="single" w:sz="4" w:space="0" w:color="auto"/>
              <w:right w:val="single" w:sz="4" w:space="0" w:color="auto"/>
            </w:tcBorders>
            <w:vAlign w:val="center"/>
          </w:tcPr>
          <w:p w14:paraId="6003BAA0" w14:textId="1A281F9D" w:rsidR="006100CC" w:rsidRPr="00F715E7" w:rsidRDefault="00B66133" w:rsidP="009878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F715E7">
              <w:rPr>
                <w:sz w:val="22"/>
                <w:szCs w:val="22"/>
                <w:lang w:val="es-ES_tradnl"/>
              </w:rPr>
              <w:t>32</w:t>
            </w:r>
            <w:r w:rsidR="00EA0698" w:rsidRPr="00F715E7">
              <w:rPr>
                <w:sz w:val="22"/>
                <w:szCs w:val="22"/>
                <w:lang w:val="es-ES_tradnl"/>
              </w:rPr>
              <w:t xml:space="preserve"> a </w:t>
            </w:r>
            <w:r w:rsidRPr="00F715E7">
              <w:rPr>
                <w:sz w:val="22"/>
                <w:szCs w:val="22"/>
                <w:lang w:val="es-ES_tradnl"/>
              </w:rPr>
              <w:t>33</w:t>
            </w:r>
          </w:p>
        </w:tc>
      </w:tr>
      <w:tr w:rsidR="00CF035E" w:rsidRPr="00F715E7" w14:paraId="5E68A41B" w14:textId="77777777" w:rsidTr="004A0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tcPr>
          <w:p w14:paraId="59C453A6" w14:textId="77777777" w:rsidR="006100CC" w:rsidRPr="00F715E7" w:rsidRDefault="006100CC" w:rsidP="004A0EEA">
            <w:pPr>
              <w:spacing w:before="0" w:after="0" w:line="240" w:lineRule="auto"/>
              <w:jc w:val="center"/>
              <w:rPr>
                <w:sz w:val="21"/>
                <w:szCs w:val="21"/>
                <w:lang w:val="es-ES_tradnl"/>
              </w:rPr>
            </w:pPr>
            <w:r w:rsidRPr="00F715E7">
              <w:rPr>
                <w:sz w:val="21"/>
                <w:szCs w:val="21"/>
                <w:lang w:val="es-ES_tradnl"/>
              </w:rPr>
              <w:t>III.</w:t>
            </w:r>
          </w:p>
        </w:tc>
        <w:tc>
          <w:tcPr>
            <w:tcW w:w="2127" w:type="dxa"/>
            <w:tcBorders>
              <w:top w:val="single" w:sz="4" w:space="0" w:color="auto"/>
              <w:left w:val="single" w:sz="4" w:space="0" w:color="auto"/>
              <w:bottom w:val="single" w:sz="4" w:space="0" w:color="auto"/>
              <w:right w:val="single" w:sz="4" w:space="0" w:color="auto"/>
            </w:tcBorders>
            <w:vAlign w:val="center"/>
          </w:tcPr>
          <w:p w14:paraId="5BC9F0F4" w14:textId="77777777" w:rsidR="006100CC" w:rsidRPr="00F715E7" w:rsidRDefault="006100CC" w:rsidP="0098787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bCs/>
                <w:sz w:val="21"/>
                <w:szCs w:val="21"/>
                <w:lang w:val="es-ES_tradnl"/>
              </w:rPr>
            </w:pPr>
            <w:r w:rsidRPr="00F715E7">
              <w:rPr>
                <w:b/>
                <w:bCs/>
                <w:sz w:val="21"/>
                <w:szCs w:val="21"/>
                <w:lang w:val="es-ES_tradnl"/>
              </w:rPr>
              <w:t>OPORTUNIDAD</w:t>
            </w:r>
          </w:p>
        </w:tc>
        <w:tc>
          <w:tcPr>
            <w:tcW w:w="5244" w:type="dxa"/>
            <w:tcBorders>
              <w:top w:val="single" w:sz="4" w:space="0" w:color="auto"/>
              <w:left w:val="single" w:sz="4" w:space="0" w:color="auto"/>
              <w:bottom w:val="single" w:sz="4" w:space="0" w:color="auto"/>
              <w:right w:val="single" w:sz="4" w:space="0" w:color="auto"/>
            </w:tcBorders>
            <w:vAlign w:val="center"/>
          </w:tcPr>
          <w:p w14:paraId="6D2D9ED3" w14:textId="77777777" w:rsidR="006100CC" w:rsidRPr="00F715E7" w:rsidRDefault="006100CC" w:rsidP="0098787A">
            <w:pPr>
              <w:spacing w:before="0" w:after="0" w:line="240" w:lineRule="auto"/>
              <w:cnfStyle w:val="000000100000" w:firstRow="0" w:lastRow="0" w:firstColumn="0" w:lastColumn="0" w:oddVBand="0" w:evenVBand="0" w:oddHBand="1" w:evenHBand="0" w:firstRowFirstColumn="0" w:firstRowLastColumn="0" w:lastRowFirstColumn="0" w:lastRowLastColumn="0"/>
              <w:rPr>
                <w:sz w:val="21"/>
                <w:szCs w:val="21"/>
                <w:lang w:val="es-ES_tradnl"/>
              </w:rPr>
            </w:pPr>
            <w:r w:rsidRPr="00F715E7">
              <w:rPr>
                <w:sz w:val="21"/>
                <w:szCs w:val="21"/>
                <w:lang w:val="es-ES_tradnl"/>
              </w:rPr>
              <w:t xml:space="preserve">Los escritos iniciales son </w:t>
            </w:r>
            <w:r w:rsidRPr="00F715E7">
              <w:rPr>
                <w:b/>
                <w:bCs/>
                <w:sz w:val="21"/>
                <w:szCs w:val="21"/>
                <w:lang w:val="es-ES_tradnl"/>
              </w:rPr>
              <w:t>oportunos</w:t>
            </w:r>
            <w:r w:rsidRPr="00F715E7">
              <w:rPr>
                <w:sz w:val="21"/>
                <w:szCs w:val="21"/>
                <w:lang w:val="es-ES_tradnl"/>
              </w:rPr>
              <w:t>.</w:t>
            </w:r>
          </w:p>
        </w:tc>
        <w:tc>
          <w:tcPr>
            <w:tcW w:w="993" w:type="dxa"/>
            <w:tcBorders>
              <w:top w:val="single" w:sz="4" w:space="0" w:color="auto"/>
              <w:left w:val="single" w:sz="4" w:space="0" w:color="auto"/>
              <w:bottom w:val="single" w:sz="4" w:space="0" w:color="auto"/>
              <w:right w:val="single" w:sz="4" w:space="0" w:color="auto"/>
            </w:tcBorders>
            <w:vAlign w:val="center"/>
          </w:tcPr>
          <w:p w14:paraId="0A32EADC" w14:textId="1838D9D1" w:rsidR="006100CC" w:rsidRPr="00F715E7" w:rsidRDefault="00EA0698" w:rsidP="0098787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sz w:val="22"/>
                <w:szCs w:val="22"/>
                <w:lang w:val="es-ES_tradnl"/>
              </w:rPr>
            </w:pPr>
            <w:r w:rsidRPr="00F715E7">
              <w:rPr>
                <w:sz w:val="22"/>
                <w:szCs w:val="22"/>
                <w:lang w:val="es-ES_tradnl"/>
              </w:rPr>
              <w:t>3</w:t>
            </w:r>
            <w:r w:rsidR="00B66133" w:rsidRPr="00F715E7">
              <w:rPr>
                <w:sz w:val="22"/>
                <w:szCs w:val="22"/>
                <w:lang w:val="es-ES_tradnl"/>
              </w:rPr>
              <w:t>3</w:t>
            </w:r>
            <w:r w:rsidRPr="00F715E7">
              <w:rPr>
                <w:sz w:val="22"/>
                <w:szCs w:val="22"/>
                <w:lang w:val="es-ES_tradnl"/>
              </w:rPr>
              <w:t xml:space="preserve"> a 3</w:t>
            </w:r>
            <w:r w:rsidR="00B66133" w:rsidRPr="00F715E7">
              <w:rPr>
                <w:sz w:val="22"/>
                <w:szCs w:val="22"/>
                <w:lang w:val="es-ES_tradnl"/>
              </w:rPr>
              <w:t>4</w:t>
            </w:r>
          </w:p>
        </w:tc>
      </w:tr>
      <w:tr w:rsidR="00CF035E" w:rsidRPr="00F715E7" w14:paraId="41AD65ED" w14:textId="77777777" w:rsidTr="004A0EEA">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tcPr>
          <w:p w14:paraId="6F6C83C3" w14:textId="77777777" w:rsidR="006100CC" w:rsidRPr="00F715E7" w:rsidRDefault="006100CC" w:rsidP="004A0EEA">
            <w:pPr>
              <w:spacing w:before="0" w:after="0" w:line="240" w:lineRule="auto"/>
              <w:jc w:val="center"/>
              <w:rPr>
                <w:sz w:val="21"/>
                <w:szCs w:val="21"/>
                <w:lang w:val="es-ES_tradnl"/>
              </w:rPr>
            </w:pPr>
            <w:r w:rsidRPr="00F715E7">
              <w:rPr>
                <w:sz w:val="21"/>
                <w:szCs w:val="21"/>
                <w:lang w:val="es-ES_tradnl"/>
              </w:rPr>
              <w:t>IV.</w:t>
            </w:r>
          </w:p>
        </w:tc>
        <w:tc>
          <w:tcPr>
            <w:tcW w:w="2127" w:type="dxa"/>
            <w:tcBorders>
              <w:top w:val="single" w:sz="4" w:space="0" w:color="auto"/>
              <w:left w:val="single" w:sz="4" w:space="0" w:color="auto"/>
              <w:bottom w:val="single" w:sz="4" w:space="0" w:color="auto"/>
              <w:right w:val="single" w:sz="4" w:space="0" w:color="auto"/>
            </w:tcBorders>
            <w:vAlign w:val="center"/>
          </w:tcPr>
          <w:p w14:paraId="3107B585" w14:textId="77777777" w:rsidR="006100CC" w:rsidRPr="00F715E7" w:rsidRDefault="006100CC" w:rsidP="009878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21"/>
                <w:szCs w:val="21"/>
                <w:lang w:val="es-ES_tradnl"/>
              </w:rPr>
            </w:pPr>
            <w:r w:rsidRPr="00F715E7">
              <w:rPr>
                <w:b/>
                <w:bCs/>
                <w:sz w:val="21"/>
                <w:szCs w:val="21"/>
                <w:lang w:val="es-ES_tradnl"/>
              </w:rPr>
              <w:t>LEGITIMACIÓN</w:t>
            </w:r>
          </w:p>
        </w:tc>
        <w:tc>
          <w:tcPr>
            <w:tcW w:w="5244" w:type="dxa"/>
            <w:tcBorders>
              <w:top w:val="single" w:sz="4" w:space="0" w:color="auto"/>
              <w:left w:val="single" w:sz="4" w:space="0" w:color="auto"/>
              <w:bottom w:val="single" w:sz="4" w:space="0" w:color="auto"/>
              <w:right w:val="single" w:sz="4" w:space="0" w:color="auto"/>
            </w:tcBorders>
            <w:vAlign w:val="center"/>
          </w:tcPr>
          <w:p w14:paraId="0FCB7587" w14:textId="77777777" w:rsidR="006100CC" w:rsidRPr="00F715E7" w:rsidRDefault="006100CC"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sz w:val="21"/>
                <w:szCs w:val="21"/>
                <w:lang w:val="es-ES_tradnl"/>
              </w:rPr>
            </w:pPr>
            <w:r w:rsidRPr="00F715E7">
              <w:rPr>
                <w:sz w:val="21"/>
                <w:szCs w:val="21"/>
                <w:lang w:val="es-ES_tradnl"/>
              </w:rPr>
              <w:t xml:space="preserve">Los escritos iniciales fueron presentados por </w:t>
            </w:r>
            <w:r w:rsidRPr="00F715E7">
              <w:rPr>
                <w:b/>
                <w:bCs/>
                <w:sz w:val="21"/>
                <w:szCs w:val="21"/>
                <w:lang w:val="es-ES_tradnl"/>
              </w:rPr>
              <w:t>parte legitimada</w:t>
            </w:r>
            <w:r w:rsidRPr="00F715E7">
              <w:rPr>
                <w:sz w:val="21"/>
                <w:szCs w:val="21"/>
                <w:lang w:val="es-ES_tradnl"/>
              </w:rPr>
              <w:t>.</w:t>
            </w:r>
          </w:p>
        </w:tc>
        <w:tc>
          <w:tcPr>
            <w:tcW w:w="993" w:type="dxa"/>
            <w:tcBorders>
              <w:top w:val="single" w:sz="4" w:space="0" w:color="auto"/>
              <w:left w:val="single" w:sz="4" w:space="0" w:color="auto"/>
              <w:bottom w:val="single" w:sz="4" w:space="0" w:color="auto"/>
              <w:right w:val="single" w:sz="4" w:space="0" w:color="auto"/>
            </w:tcBorders>
            <w:vAlign w:val="center"/>
          </w:tcPr>
          <w:p w14:paraId="0B687717" w14:textId="1D4CE161" w:rsidR="006100CC" w:rsidRPr="00F715E7" w:rsidRDefault="00B66133" w:rsidP="0098787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F715E7">
              <w:rPr>
                <w:sz w:val="22"/>
                <w:szCs w:val="22"/>
                <w:lang w:val="es-ES_tradnl"/>
              </w:rPr>
              <w:t>34-41</w:t>
            </w:r>
          </w:p>
        </w:tc>
      </w:tr>
      <w:tr w:rsidR="00CF035E" w:rsidRPr="00F715E7" w14:paraId="1EEACBD6" w14:textId="77777777" w:rsidTr="004A0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uto"/>
            <w:vAlign w:val="center"/>
          </w:tcPr>
          <w:p w14:paraId="342C1442" w14:textId="14183C8E" w:rsidR="006100CC" w:rsidRPr="00F715E7" w:rsidRDefault="006100CC" w:rsidP="004A0EEA">
            <w:pPr>
              <w:spacing w:before="0" w:after="0" w:line="240" w:lineRule="auto"/>
              <w:jc w:val="center"/>
              <w:rPr>
                <w:sz w:val="21"/>
                <w:szCs w:val="21"/>
                <w:lang w:val="es-ES_tradnl"/>
              </w:rPr>
            </w:pPr>
            <w:r w:rsidRPr="00F715E7">
              <w:rPr>
                <w:sz w:val="21"/>
                <w:szCs w:val="21"/>
                <w:lang w:val="es-ES_tradnl"/>
              </w:rPr>
              <w:t>V.</w:t>
            </w:r>
          </w:p>
        </w:tc>
        <w:tc>
          <w:tcPr>
            <w:tcW w:w="0" w:type="dxa"/>
            <w:tcBorders>
              <w:top w:val="single" w:sz="4" w:space="0" w:color="auto"/>
              <w:left w:val="single" w:sz="4" w:space="0" w:color="auto"/>
              <w:bottom w:val="single" w:sz="4" w:space="0" w:color="auto"/>
              <w:right w:val="single" w:sz="4" w:space="0" w:color="auto"/>
            </w:tcBorders>
            <w:shd w:val="clear" w:color="auto" w:fill="auto"/>
            <w:vAlign w:val="center"/>
          </w:tcPr>
          <w:p w14:paraId="1A11F5AE" w14:textId="77777777" w:rsidR="006100CC" w:rsidRPr="00F715E7" w:rsidRDefault="006100CC" w:rsidP="0098787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bCs/>
                <w:sz w:val="21"/>
                <w:szCs w:val="21"/>
                <w:lang w:val="es-ES_tradnl"/>
              </w:rPr>
            </w:pPr>
            <w:r w:rsidRPr="00F715E7">
              <w:rPr>
                <w:b/>
                <w:bCs/>
                <w:sz w:val="21"/>
                <w:szCs w:val="21"/>
                <w:lang w:val="es-ES_tradnl"/>
              </w:rPr>
              <w:t>CAUSAS DE IMPROCEDENCIA Y SOBRESEIMIENTO</w:t>
            </w:r>
          </w:p>
        </w:tc>
        <w:tc>
          <w:tcPr>
            <w:tcW w:w="0" w:type="dxa"/>
            <w:tcBorders>
              <w:top w:val="single" w:sz="4" w:space="0" w:color="auto"/>
              <w:left w:val="single" w:sz="4" w:space="0" w:color="auto"/>
              <w:bottom w:val="single" w:sz="4" w:space="0" w:color="auto"/>
              <w:right w:val="single" w:sz="4" w:space="0" w:color="auto"/>
            </w:tcBorders>
            <w:shd w:val="clear" w:color="auto" w:fill="auto"/>
            <w:vAlign w:val="center"/>
          </w:tcPr>
          <w:p w14:paraId="3E0AD58D" w14:textId="554B75F5" w:rsidR="006100CC" w:rsidRPr="00F715E7" w:rsidRDefault="00F04CA5" w:rsidP="0098787A">
            <w:pPr>
              <w:spacing w:before="0" w:after="0" w:line="240" w:lineRule="auto"/>
              <w:cnfStyle w:val="000000100000" w:firstRow="0" w:lastRow="0" w:firstColumn="0" w:lastColumn="0" w:oddVBand="0" w:evenVBand="0" w:oddHBand="1" w:evenHBand="0" w:firstRowFirstColumn="0" w:firstRowLastColumn="0" w:lastRowFirstColumn="0" w:lastRowLastColumn="0"/>
              <w:rPr>
                <w:sz w:val="21"/>
                <w:szCs w:val="21"/>
                <w:lang w:val="es-ES_tradnl"/>
              </w:rPr>
            </w:pPr>
            <w:r w:rsidRPr="00F715E7">
              <w:rPr>
                <w:sz w:val="21"/>
                <w:szCs w:val="21"/>
                <w:lang w:val="es-ES_tradnl"/>
              </w:rPr>
              <w:t xml:space="preserve">No </w:t>
            </w:r>
            <w:r w:rsidR="006100CC" w:rsidRPr="00F715E7">
              <w:rPr>
                <w:sz w:val="21"/>
                <w:szCs w:val="21"/>
                <w:lang w:val="es-ES_tradnl"/>
              </w:rPr>
              <w:t>se advierte la actualización de alguna de oficio.</w:t>
            </w:r>
          </w:p>
        </w:tc>
        <w:tc>
          <w:tcPr>
            <w:tcW w:w="0" w:type="dxa"/>
            <w:tcBorders>
              <w:top w:val="single" w:sz="4" w:space="0" w:color="auto"/>
              <w:left w:val="single" w:sz="4" w:space="0" w:color="auto"/>
              <w:bottom w:val="single" w:sz="4" w:space="0" w:color="auto"/>
              <w:right w:val="single" w:sz="4" w:space="0" w:color="auto"/>
            </w:tcBorders>
            <w:shd w:val="clear" w:color="auto" w:fill="auto"/>
            <w:vAlign w:val="center"/>
          </w:tcPr>
          <w:p w14:paraId="40AF44AF" w14:textId="199722E2" w:rsidR="006100CC" w:rsidRPr="00F715E7" w:rsidRDefault="00EA0698" w:rsidP="0098787A">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sz w:val="22"/>
                <w:szCs w:val="22"/>
                <w:lang w:val="es-ES_tradnl"/>
              </w:rPr>
            </w:pPr>
            <w:r w:rsidRPr="00F715E7">
              <w:rPr>
                <w:sz w:val="22"/>
                <w:szCs w:val="22"/>
                <w:lang w:val="es-ES_tradnl"/>
              </w:rPr>
              <w:t>42</w:t>
            </w:r>
          </w:p>
        </w:tc>
      </w:tr>
      <w:tr w:rsidR="00CF035E" w:rsidRPr="00F715E7" w14:paraId="3CCD254D" w14:textId="77777777" w:rsidTr="004A0EEA">
        <w:trPr>
          <w:trHeight w:val="558"/>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auto"/>
              <w:left w:val="single" w:sz="4" w:space="0" w:color="auto"/>
              <w:right w:val="single" w:sz="4" w:space="0" w:color="auto"/>
            </w:tcBorders>
            <w:vAlign w:val="center"/>
          </w:tcPr>
          <w:p w14:paraId="34159E75" w14:textId="00D7DE38" w:rsidR="00FB390C" w:rsidRPr="00F715E7" w:rsidRDefault="00FB390C" w:rsidP="004A0EEA">
            <w:pPr>
              <w:pStyle w:val="Ttulo4"/>
              <w:spacing w:before="0" w:line="240" w:lineRule="auto"/>
              <w:jc w:val="center"/>
              <w:outlineLvl w:val="3"/>
              <w:rPr>
                <w:rFonts w:ascii="Arial" w:hAnsi="Arial" w:cs="Arial"/>
                <w:i w:val="0"/>
                <w:iCs w:val="0"/>
                <w:color w:val="auto"/>
                <w:sz w:val="21"/>
                <w:szCs w:val="21"/>
              </w:rPr>
            </w:pPr>
            <w:r w:rsidRPr="00F715E7">
              <w:rPr>
                <w:rFonts w:ascii="Arial" w:hAnsi="Arial" w:cs="Arial"/>
                <w:i w:val="0"/>
                <w:iCs w:val="0"/>
                <w:color w:val="auto"/>
                <w:sz w:val="21"/>
                <w:szCs w:val="21"/>
              </w:rPr>
              <w:t>VI.</w:t>
            </w:r>
          </w:p>
        </w:tc>
        <w:tc>
          <w:tcPr>
            <w:tcW w:w="2127" w:type="dxa"/>
            <w:vMerge w:val="restart"/>
            <w:tcBorders>
              <w:top w:val="single" w:sz="4" w:space="0" w:color="auto"/>
              <w:left w:val="single" w:sz="4" w:space="0" w:color="auto"/>
              <w:right w:val="single" w:sz="4" w:space="0" w:color="auto"/>
            </w:tcBorders>
            <w:vAlign w:val="center"/>
          </w:tcPr>
          <w:p w14:paraId="3C6CC26D" w14:textId="08D2372B" w:rsidR="00FB390C" w:rsidRPr="00F715E7" w:rsidRDefault="00FB390C" w:rsidP="0098787A">
            <w:pPr>
              <w:pStyle w:val="Ttulo4"/>
              <w:spacing w:before="0" w:line="240" w:lineRule="auto"/>
              <w:jc w:val="center"/>
              <w:outlineLvl w:val="3"/>
              <w:cnfStyle w:val="000000000000" w:firstRow="0" w:lastRow="0" w:firstColumn="0" w:lastColumn="0" w:oddVBand="0" w:evenVBand="0" w:oddHBand="0" w:evenHBand="0" w:firstRowFirstColumn="0" w:firstRowLastColumn="0" w:lastRowFirstColumn="0" w:lastRowLastColumn="0"/>
              <w:rPr>
                <w:rFonts w:ascii="Arial" w:hAnsi="Arial" w:cs="Arial"/>
                <w:b/>
                <w:bCs/>
                <w:i w:val="0"/>
                <w:iCs w:val="0"/>
                <w:color w:val="auto"/>
                <w:sz w:val="21"/>
                <w:szCs w:val="21"/>
              </w:rPr>
            </w:pPr>
            <w:r w:rsidRPr="00F715E7">
              <w:rPr>
                <w:rFonts w:ascii="Arial" w:hAnsi="Arial" w:cs="Arial"/>
                <w:b/>
                <w:bCs/>
                <w:i w:val="0"/>
                <w:iCs w:val="0"/>
                <w:color w:val="auto"/>
                <w:sz w:val="21"/>
                <w:szCs w:val="21"/>
              </w:rPr>
              <w:t>ESTUDIO DE FONDO</w:t>
            </w:r>
          </w:p>
        </w:tc>
        <w:tc>
          <w:tcPr>
            <w:tcW w:w="5244" w:type="dxa"/>
            <w:tcBorders>
              <w:top w:val="single" w:sz="4" w:space="0" w:color="auto"/>
              <w:left w:val="single" w:sz="4" w:space="0" w:color="auto"/>
              <w:bottom w:val="single" w:sz="4" w:space="0" w:color="auto"/>
              <w:right w:val="single" w:sz="4" w:space="0" w:color="auto"/>
            </w:tcBorders>
            <w:vAlign w:val="center"/>
          </w:tcPr>
          <w:p w14:paraId="336B93DC" w14:textId="78BEEEE1" w:rsidR="006F01E1" w:rsidRPr="00F715E7" w:rsidRDefault="006F01E1"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sz w:val="21"/>
                <w:szCs w:val="21"/>
                <w:lang w:val="es-ES_tradnl"/>
              </w:rPr>
            </w:pPr>
            <w:r w:rsidRPr="00F715E7">
              <w:rPr>
                <w:b/>
                <w:bCs/>
                <w:sz w:val="21"/>
                <w:szCs w:val="21"/>
                <w:lang w:val="es-ES_tradnl"/>
              </w:rPr>
              <w:t>VI.1</w:t>
            </w:r>
            <w:r w:rsidRPr="00F715E7">
              <w:rPr>
                <w:sz w:val="21"/>
                <w:szCs w:val="21"/>
                <w:lang w:val="es-ES_tradnl"/>
              </w:rPr>
              <w:t>. Consulta previa a los pueblos y comunidades indígenas y afromexicanas del Estado de Veracruz.</w:t>
            </w:r>
          </w:p>
        </w:tc>
        <w:tc>
          <w:tcPr>
            <w:tcW w:w="993" w:type="dxa"/>
            <w:tcBorders>
              <w:top w:val="single" w:sz="4" w:space="0" w:color="auto"/>
              <w:left w:val="single" w:sz="4" w:space="0" w:color="auto"/>
              <w:bottom w:val="single" w:sz="4" w:space="0" w:color="auto"/>
              <w:right w:val="single" w:sz="4" w:space="0" w:color="auto"/>
            </w:tcBorders>
            <w:vAlign w:val="center"/>
          </w:tcPr>
          <w:p w14:paraId="4114249B" w14:textId="7D37CE9B" w:rsidR="00FB390C" w:rsidRPr="00F715E7" w:rsidRDefault="00EA0698" w:rsidP="001E1EF8">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F715E7">
              <w:rPr>
                <w:sz w:val="22"/>
                <w:szCs w:val="22"/>
                <w:lang w:val="es-ES_tradnl"/>
              </w:rPr>
              <w:t xml:space="preserve">42 a </w:t>
            </w:r>
            <w:r w:rsidR="00B66133" w:rsidRPr="00F715E7">
              <w:rPr>
                <w:sz w:val="22"/>
                <w:szCs w:val="22"/>
                <w:lang w:val="es-ES_tradnl"/>
              </w:rPr>
              <w:t>52</w:t>
            </w:r>
          </w:p>
        </w:tc>
      </w:tr>
      <w:tr w:rsidR="006F01E1" w:rsidRPr="00F715E7" w14:paraId="7A36282C" w14:textId="77777777" w:rsidTr="004A0EEA">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auto"/>
              <w:left w:val="single" w:sz="4" w:space="0" w:color="auto"/>
              <w:right w:val="single" w:sz="4" w:space="0" w:color="auto"/>
            </w:tcBorders>
            <w:vAlign w:val="center"/>
          </w:tcPr>
          <w:p w14:paraId="36EFC1C7" w14:textId="77777777" w:rsidR="006F01E1" w:rsidRPr="00F715E7" w:rsidRDefault="006F01E1" w:rsidP="004A0EEA">
            <w:pPr>
              <w:pStyle w:val="Ttulo4"/>
              <w:spacing w:before="0" w:line="240" w:lineRule="auto"/>
              <w:jc w:val="center"/>
              <w:outlineLvl w:val="3"/>
              <w:rPr>
                <w:rFonts w:ascii="Arial" w:hAnsi="Arial" w:cs="Arial"/>
                <w:i w:val="0"/>
                <w:iCs w:val="0"/>
                <w:color w:val="auto"/>
                <w:sz w:val="21"/>
                <w:szCs w:val="21"/>
              </w:rPr>
            </w:pPr>
          </w:p>
        </w:tc>
        <w:tc>
          <w:tcPr>
            <w:tcW w:w="2127" w:type="dxa"/>
            <w:vMerge/>
            <w:tcBorders>
              <w:top w:val="single" w:sz="4" w:space="0" w:color="auto"/>
              <w:left w:val="single" w:sz="4" w:space="0" w:color="auto"/>
              <w:right w:val="single" w:sz="4" w:space="0" w:color="auto"/>
            </w:tcBorders>
            <w:vAlign w:val="center"/>
          </w:tcPr>
          <w:p w14:paraId="26E9B115" w14:textId="77777777" w:rsidR="006F01E1" w:rsidRPr="00F715E7" w:rsidRDefault="006F01E1" w:rsidP="0098787A">
            <w:pPr>
              <w:pStyle w:val="Ttulo4"/>
              <w:spacing w:before="0" w:line="240" w:lineRule="auto"/>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bCs/>
                <w:i w:val="0"/>
                <w:iCs w:val="0"/>
                <w:color w:val="auto"/>
                <w:sz w:val="21"/>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E3B3889" w14:textId="53560568" w:rsidR="00564DEC" w:rsidRPr="00F715E7" w:rsidRDefault="006F01E1" w:rsidP="0098787A">
            <w:pPr>
              <w:spacing w:before="0" w:after="0" w:line="240" w:lineRule="auto"/>
              <w:cnfStyle w:val="000000100000" w:firstRow="0" w:lastRow="0" w:firstColumn="0" w:lastColumn="0" w:oddVBand="0" w:evenVBand="0" w:oddHBand="1" w:evenHBand="0" w:firstRowFirstColumn="0" w:firstRowLastColumn="0" w:lastRowFirstColumn="0" w:lastRowLastColumn="0"/>
              <w:rPr>
                <w:sz w:val="21"/>
                <w:szCs w:val="21"/>
                <w:lang w:val="es-ES_tradnl"/>
              </w:rPr>
            </w:pPr>
            <w:r w:rsidRPr="00F715E7">
              <w:rPr>
                <w:b/>
                <w:bCs/>
                <w:sz w:val="21"/>
                <w:szCs w:val="21"/>
                <w:lang w:val="es-ES_tradnl"/>
              </w:rPr>
              <w:t>VI.2.</w:t>
            </w:r>
            <w:r w:rsidRPr="00F715E7">
              <w:rPr>
                <w:sz w:val="21"/>
                <w:szCs w:val="21"/>
                <w:lang w:val="es-ES_tradnl"/>
              </w:rPr>
              <w:t xml:space="preserve"> Violación a la veda electoral prevista en el artículo 105, fracción II, penúltimo párrafo, de la Constitución Política de los Estados Unidos Mexicanos. </w:t>
            </w:r>
          </w:p>
        </w:tc>
        <w:tc>
          <w:tcPr>
            <w:tcW w:w="993" w:type="dxa"/>
            <w:tcBorders>
              <w:top w:val="single" w:sz="4" w:space="0" w:color="auto"/>
              <w:left w:val="single" w:sz="4" w:space="0" w:color="auto"/>
              <w:bottom w:val="single" w:sz="4" w:space="0" w:color="auto"/>
              <w:right w:val="single" w:sz="4" w:space="0" w:color="auto"/>
            </w:tcBorders>
            <w:vAlign w:val="center"/>
          </w:tcPr>
          <w:p w14:paraId="70F4CBAA" w14:textId="4268ACB4" w:rsidR="006F01E1" w:rsidRPr="00F715E7" w:rsidRDefault="00EA0698" w:rsidP="0098787A">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2"/>
                <w:lang w:val="es-ES_tradnl"/>
              </w:rPr>
            </w:pPr>
            <w:r w:rsidRPr="00F715E7">
              <w:rPr>
                <w:sz w:val="22"/>
                <w:szCs w:val="22"/>
                <w:lang w:val="es-ES_tradnl"/>
              </w:rPr>
              <w:t>52 a 67</w:t>
            </w:r>
          </w:p>
        </w:tc>
      </w:tr>
      <w:tr w:rsidR="006F01E1" w:rsidRPr="00F715E7" w14:paraId="0095DD07" w14:textId="77777777" w:rsidTr="004A0EEA">
        <w:trPr>
          <w:trHeight w:val="567"/>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4" w:space="0" w:color="auto"/>
              <w:left w:val="single" w:sz="4" w:space="0" w:color="auto"/>
              <w:right w:val="single" w:sz="4" w:space="0" w:color="auto"/>
            </w:tcBorders>
            <w:vAlign w:val="center"/>
          </w:tcPr>
          <w:p w14:paraId="3109F547" w14:textId="77777777" w:rsidR="006F01E1" w:rsidRPr="00F715E7" w:rsidRDefault="006F01E1" w:rsidP="004A0EEA">
            <w:pPr>
              <w:pStyle w:val="Ttulo4"/>
              <w:spacing w:before="0" w:line="240" w:lineRule="auto"/>
              <w:jc w:val="center"/>
              <w:outlineLvl w:val="3"/>
              <w:rPr>
                <w:rFonts w:ascii="Arial" w:hAnsi="Arial" w:cs="Arial"/>
                <w:i w:val="0"/>
                <w:iCs w:val="0"/>
                <w:color w:val="auto"/>
                <w:sz w:val="21"/>
                <w:szCs w:val="21"/>
              </w:rPr>
            </w:pPr>
          </w:p>
        </w:tc>
        <w:tc>
          <w:tcPr>
            <w:tcW w:w="2127" w:type="dxa"/>
            <w:vMerge/>
            <w:tcBorders>
              <w:top w:val="single" w:sz="4" w:space="0" w:color="auto"/>
              <w:left w:val="single" w:sz="4" w:space="0" w:color="auto"/>
              <w:right w:val="single" w:sz="4" w:space="0" w:color="auto"/>
            </w:tcBorders>
            <w:vAlign w:val="center"/>
          </w:tcPr>
          <w:p w14:paraId="66136FF2" w14:textId="77777777" w:rsidR="006F01E1" w:rsidRPr="00F715E7" w:rsidRDefault="006F01E1" w:rsidP="0098787A">
            <w:pPr>
              <w:pStyle w:val="Ttulo4"/>
              <w:spacing w:before="0" w:line="240" w:lineRule="auto"/>
              <w:jc w:val="center"/>
              <w:outlineLvl w:val="3"/>
              <w:cnfStyle w:val="000000000000" w:firstRow="0" w:lastRow="0" w:firstColumn="0" w:lastColumn="0" w:oddVBand="0" w:evenVBand="0" w:oddHBand="0" w:evenHBand="0" w:firstRowFirstColumn="0" w:firstRowLastColumn="0" w:lastRowFirstColumn="0" w:lastRowLastColumn="0"/>
              <w:rPr>
                <w:rFonts w:ascii="Arial" w:hAnsi="Arial" w:cs="Arial"/>
                <w:b/>
                <w:bCs/>
                <w:i w:val="0"/>
                <w:iCs w:val="0"/>
                <w:color w:val="auto"/>
                <w:sz w:val="21"/>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12BA77E0" w14:textId="403AC46B" w:rsidR="006F01E1" w:rsidRPr="00F715E7" w:rsidRDefault="006F01E1"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sz w:val="21"/>
                <w:szCs w:val="21"/>
                <w:lang w:val="es-ES_tradnl"/>
              </w:rPr>
            </w:pPr>
            <w:r w:rsidRPr="00F715E7">
              <w:rPr>
                <w:b/>
                <w:bCs/>
                <w:sz w:val="21"/>
                <w:szCs w:val="21"/>
                <w:lang w:val="es-ES_tradnl"/>
              </w:rPr>
              <w:t>VI.3.</w:t>
            </w:r>
            <w:r w:rsidRPr="00F715E7">
              <w:rPr>
                <w:sz w:val="21"/>
                <w:szCs w:val="21"/>
                <w:lang w:val="es-ES_tradnl"/>
              </w:rPr>
              <w:t xml:space="preserve"> Financiamiento público local de los partidos políticos nacionales.</w:t>
            </w:r>
          </w:p>
        </w:tc>
        <w:tc>
          <w:tcPr>
            <w:tcW w:w="993" w:type="dxa"/>
            <w:tcBorders>
              <w:top w:val="single" w:sz="4" w:space="0" w:color="auto"/>
              <w:left w:val="single" w:sz="4" w:space="0" w:color="auto"/>
              <w:bottom w:val="single" w:sz="4" w:space="0" w:color="auto"/>
              <w:right w:val="single" w:sz="4" w:space="0" w:color="auto"/>
            </w:tcBorders>
            <w:vAlign w:val="center"/>
          </w:tcPr>
          <w:p w14:paraId="16958181" w14:textId="5D2FD003" w:rsidR="006F01E1" w:rsidRPr="00F715E7" w:rsidRDefault="00EA0698"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F715E7">
              <w:rPr>
                <w:sz w:val="22"/>
                <w:szCs w:val="22"/>
                <w:lang w:val="es-ES_tradnl"/>
              </w:rPr>
              <w:t>6</w:t>
            </w:r>
            <w:r w:rsidR="00B66133" w:rsidRPr="00F715E7">
              <w:rPr>
                <w:sz w:val="22"/>
                <w:szCs w:val="22"/>
                <w:lang w:val="es-ES_tradnl"/>
              </w:rPr>
              <w:t>7</w:t>
            </w:r>
            <w:r w:rsidRPr="00F715E7">
              <w:rPr>
                <w:sz w:val="22"/>
                <w:szCs w:val="22"/>
                <w:lang w:val="es-ES_tradnl"/>
              </w:rPr>
              <w:t xml:space="preserve"> a 8</w:t>
            </w:r>
            <w:r w:rsidR="00B66133" w:rsidRPr="00F715E7">
              <w:rPr>
                <w:sz w:val="22"/>
                <w:szCs w:val="22"/>
                <w:lang w:val="es-ES_tradnl"/>
              </w:rPr>
              <w:t>0</w:t>
            </w:r>
          </w:p>
        </w:tc>
      </w:tr>
      <w:tr w:rsidR="00CF035E" w:rsidRPr="00F715E7" w14:paraId="72F1E6F5" w14:textId="77777777" w:rsidTr="004A0EEA">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562" w:type="dxa"/>
            <w:vMerge/>
            <w:tcBorders>
              <w:left w:val="single" w:sz="4" w:space="0" w:color="auto"/>
              <w:bottom w:val="single" w:sz="4" w:space="0" w:color="auto"/>
              <w:right w:val="single" w:sz="4" w:space="0" w:color="auto"/>
            </w:tcBorders>
            <w:vAlign w:val="center"/>
          </w:tcPr>
          <w:p w14:paraId="1D246518" w14:textId="77777777" w:rsidR="00FB390C" w:rsidRPr="00F715E7" w:rsidRDefault="00FB390C" w:rsidP="004A0EEA">
            <w:pPr>
              <w:pStyle w:val="Ttulo4"/>
              <w:spacing w:before="0" w:line="240" w:lineRule="auto"/>
              <w:jc w:val="center"/>
              <w:outlineLvl w:val="3"/>
              <w:rPr>
                <w:rFonts w:ascii="Arial" w:hAnsi="Arial" w:cs="Arial"/>
                <w:i w:val="0"/>
                <w:iCs w:val="0"/>
                <w:color w:val="auto"/>
                <w:sz w:val="21"/>
                <w:szCs w:val="21"/>
              </w:rPr>
            </w:pPr>
          </w:p>
        </w:tc>
        <w:tc>
          <w:tcPr>
            <w:tcW w:w="2127" w:type="dxa"/>
            <w:vMerge/>
            <w:tcBorders>
              <w:left w:val="single" w:sz="4" w:space="0" w:color="auto"/>
              <w:bottom w:val="single" w:sz="4" w:space="0" w:color="auto"/>
              <w:right w:val="single" w:sz="4" w:space="0" w:color="auto"/>
            </w:tcBorders>
            <w:vAlign w:val="center"/>
          </w:tcPr>
          <w:p w14:paraId="18471267" w14:textId="77777777" w:rsidR="00FB390C" w:rsidRPr="00F715E7" w:rsidRDefault="00FB390C" w:rsidP="0098787A">
            <w:pPr>
              <w:pStyle w:val="Ttulo4"/>
              <w:spacing w:before="0" w:line="240" w:lineRule="auto"/>
              <w:jc w:val="center"/>
              <w:outlineLvl w:val="3"/>
              <w:cnfStyle w:val="000000100000" w:firstRow="0" w:lastRow="0" w:firstColumn="0" w:lastColumn="0" w:oddVBand="0" w:evenVBand="0" w:oddHBand="1" w:evenHBand="0" w:firstRowFirstColumn="0" w:firstRowLastColumn="0" w:lastRowFirstColumn="0" w:lastRowLastColumn="0"/>
              <w:rPr>
                <w:rFonts w:ascii="Arial" w:hAnsi="Arial" w:cs="Arial"/>
                <w:b/>
                <w:bCs/>
                <w:i w:val="0"/>
                <w:iCs w:val="0"/>
                <w:color w:val="auto"/>
                <w:sz w:val="21"/>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7999B43C" w14:textId="292259F0" w:rsidR="00FB390C" w:rsidRPr="00F715E7" w:rsidRDefault="006F01E1" w:rsidP="0098787A">
            <w:pPr>
              <w:spacing w:before="0" w:after="0" w:line="240" w:lineRule="auto"/>
              <w:cnfStyle w:val="000000100000" w:firstRow="0" w:lastRow="0" w:firstColumn="0" w:lastColumn="0" w:oddVBand="0" w:evenVBand="0" w:oddHBand="1" w:evenHBand="0" w:firstRowFirstColumn="0" w:firstRowLastColumn="0" w:lastRowFirstColumn="0" w:lastRowLastColumn="0"/>
              <w:rPr>
                <w:sz w:val="21"/>
                <w:szCs w:val="21"/>
                <w:lang w:val="es-ES_tradnl"/>
              </w:rPr>
            </w:pPr>
            <w:r w:rsidRPr="00F715E7">
              <w:rPr>
                <w:b/>
                <w:bCs/>
                <w:sz w:val="21"/>
                <w:szCs w:val="21"/>
                <w:lang w:val="es-ES_tradnl"/>
              </w:rPr>
              <w:t>VI.4.</w:t>
            </w:r>
            <w:r w:rsidRPr="00F715E7">
              <w:rPr>
                <w:sz w:val="21"/>
                <w:szCs w:val="21"/>
                <w:lang w:val="es-ES_tradnl"/>
              </w:rPr>
              <w:t xml:space="preserve"> Retroactividad de la norma.</w:t>
            </w:r>
          </w:p>
        </w:tc>
        <w:tc>
          <w:tcPr>
            <w:tcW w:w="993" w:type="dxa"/>
            <w:tcBorders>
              <w:top w:val="single" w:sz="4" w:space="0" w:color="auto"/>
              <w:left w:val="single" w:sz="4" w:space="0" w:color="auto"/>
              <w:bottom w:val="single" w:sz="4" w:space="0" w:color="auto"/>
              <w:right w:val="single" w:sz="4" w:space="0" w:color="auto"/>
            </w:tcBorders>
            <w:vAlign w:val="center"/>
          </w:tcPr>
          <w:p w14:paraId="18A45231" w14:textId="19C7FB75" w:rsidR="00FB390C" w:rsidRPr="00F715E7" w:rsidRDefault="00EA0698" w:rsidP="0098787A">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2"/>
                <w:lang w:val="es-ES_tradnl"/>
              </w:rPr>
            </w:pPr>
            <w:r w:rsidRPr="00F715E7">
              <w:rPr>
                <w:sz w:val="22"/>
                <w:szCs w:val="22"/>
                <w:lang w:val="es-ES_tradnl"/>
              </w:rPr>
              <w:t>8</w:t>
            </w:r>
            <w:r w:rsidR="00B66133" w:rsidRPr="00F715E7">
              <w:rPr>
                <w:sz w:val="22"/>
                <w:szCs w:val="22"/>
                <w:lang w:val="es-ES_tradnl"/>
              </w:rPr>
              <w:t>0</w:t>
            </w:r>
            <w:r w:rsidRPr="00F715E7">
              <w:rPr>
                <w:sz w:val="22"/>
                <w:szCs w:val="22"/>
                <w:lang w:val="es-ES_tradnl"/>
              </w:rPr>
              <w:t xml:space="preserve"> a 8</w:t>
            </w:r>
            <w:r w:rsidR="00B66133" w:rsidRPr="00F715E7">
              <w:rPr>
                <w:sz w:val="22"/>
                <w:szCs w:val="22"/>
                <w:lang w:val="es-ES_tradnl"/>
              </w:rPr>
              <w:t>6</w:t>
            </w:r>
          </w:p>
        </w:tc>
      </w:tr>
      <w:tr w:rsidR="00CF035E" w:rsidRPr="00F715E7" w14:paraId="294EDEEB" w14:textId="77777777" w:rsidTr="004A0EEA">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vAlign w:val="center"/>
          </w:tcPr>
          <w:p w14:paraId="5D17B6A0" w14:textId="3EC955FC" w:rsidR="006100CC" w:rsidRPr="00F715E7" w:rsidRDefault="00FF682D" w:rsidP="004A0EEA">
            <w:pPr>
              <w:pStyle w:val="Ttulo4"/>
              <w:spacing w:before="0" w:line="240" w:lineRule="auto"/>
              <w:jc w:val="center"/>
              <w:outlineLvl w:val="3"/>
              <w:rPr>
                <w:rFonts w:ascii="Arial" w:hAnsi="Arial" w:cs="Arial"/>
                <w:i w:val="0"/>
                <w:iCs w:val="0"/>
                <w:color w:val="auto"/>
                <w:sz w:val="21"/>
                <w:szCs w:val="21"/>
                <w:lang w:val="es-ES_tradnl"/>
              </w:rPr>
            </w:pPr>
            <w:r w:rsidRPr="00F715E7">
              <w:rPr>
                <w:rFonts w:ascii="Arial" w:hAnsi="Arial" w:cs="Arial"/>
                <w:i w:val="0"/>
                <w:iCs w:val="0"/>
                <w:color w:val="auto"/>
                <w:sz w:val="21"/>
                <w:szCs w:val="21"/>
                <w:lang w:val="es-ES_tradnl"/>
              </w:rPr>
              <w:t>VII.</w:t>
            </w:r>
          </w:p>
        </w:tc>
        <w:tc>
          <w:tcPr>
            <w:tcW w:w="2127" w:type="dxa"/>
            <w:tcBorders>
              <w:top w:val="single" w:sz="4" w:space="0" w:color="auto"/>
              <w:left w:val="single" w:sz="4" w:space="0" w:color="auto"/>
              <w:bottom w:val="single" w:sz="4" w:space="0" w:color="auto"/>
              <w:right w:val="single" w:sz="4" w:space="0" w:color="auto"/>
            </w:tcBorders>
            <w:vAlign w:val="center"/>
          </w:tcPr>
          <w:p w14:paraId="71C5F39C" w14:textId="77777777" w:rsidR="006100CC" w:rsidRPr="00F715E7" w:rsidRDefault="006100CC" w:rsidP="0098787A">
            <w:pPr>
              <w:pStyle w:val="Ttulo4"/>
              <w:spacing w:before="0" w:line="240" w:lineRule="auto"/>
              <w:jc w:val="center"/>
              <w:outlineLvl w:val="3"/>
              <w:cnfStyle w:val="000000000000" w:firstRow="0" w:lastRow="0" w:firstColumn="0" w:lastColumn="0" w:oddVBand="0" w:evenVBand="0" w:oddHBand="0" w:evenHBand="0" w:firstRowFirstColumn="0" w:firstRowLastColumn="0" w:lastRowFirstColumn="0" w:lastRowLastColumn="0"/>
              <w:rPr>
                <w:rFonts w:ascii="Arial" w:hAnsi="Arial" w:cs="Arial"/>
                <w:b/>
                <w:bCs/>
                <w:i w:val="0"/>
                <w:iCs w:val="0"/>
                <w:color w:val="auto"/>
                <w:sz w:val="21"/>
                <w:szCs w:val="21"/>
                <w:lang w:val="es-ES_tradnl"/>
              </w:rPr>
            </w:pPr>
            <w:r w:rsidRPr="00F715E7">
              <w:rPr>
                <w:rFonts w:ascii="Arial" w:hAnsi="Arial" w:cs="Arial"/>
                <w:b/>
                <w:bCs/>
                <w:i w:val="0"/>
                <w:iCs w:val="0"/>
                <w:color w:val="auto"/>
                <w:sz w:val="21"/>
                <w:szCs w:val="21"/>
                <w:lang w:val="es-ES_tradnl"/>
              </w:rPr>
              <w:t>DECISIÓN</w:t>
            </w:r>
          </w:p>
        </w:tc>
        <w:tc>
          <w:tcPr>
            <w:tcW w:w="5244" w:type="dxa"/>
            <w:tcBorders>
              <w:top w:val="single" w:sz="4" w:space="0" w:color="auto"/>
              <w:left w:val="single" w:sz="4" w:space="0" w:color="auto"/>
              <w:bottom w:val="single" w:sz="4" w:space="0" w:color="auto"/>
              <w:right w:val="single" w:sz="4" w:space="0" w:color="auto"/>
            </w:tcBorders>
            <w:vAlign w:val="center"/>
          </w:tcPr>
          <w:p w14:paraId="553434E4" w14:textId="09D03337" w:rsidR="00FB390C" w:rsidRPr="00F715E7" w:rsidRDefault="00FB390C"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sz w:val="21"/>
                <w:szCs w:val="21"/>
                <w:lang w:val="es-ES_tradnl"/>
              </w:rPr>
            </w:pPr>
            <w:r w:rsidRPr="00F715E7">
              <w:rPr>
                <w:b/>
                <w:bCs/>
                <w:sz w:val="21"/>
                <w:szCs w:val="21"/>
                <w:lang w:val="es-ES_tradnl"/>
              </w:rPr>
              <w:t xml:space="preserve">PRIMERO. </w:t>
            </w:r>
            <w:r w:rsidR="009E7C90" w:rsidRPr="00F715E7">
              <w:rPr>
                <w:sz w:val="21"/>
                <w:szCs w:val="21"/>
                <w:lang w:val="es-ES_tradnl"/>
              </w:rPr>
              <w:t>Es procedente, pero infundada la presente acción de inconstitucionalidad y sus acumuladas</w:t>
            </w:r>
            <w:r w:rsidR="00BA5B04" w:rsidRPr="00F715E7">
              <w:rPr>
                <w:sz w:val="21"/>
                <w:szCs w:val="21"/>
                <w:lang w:val="es-ES_tradnl"/>
              </w:rPr>
              <w:t>.</w:t>
            </w:r>
          </w:p>
          <w:p w14:paraId="4EDDE512" w14:textId="3DE15D97" w:rsidR="00FB390C" w:rsidRPr="00F715E7" w:rsidRDefault="00FB390C"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21"/>
                <w:szCs w:val="21"/>
                <w:lang w:val="es-ES_tradnl"/>
              </w:rPr>
            </w:pPr>
            <w:r w:rsidRPr="00F715E7">
              <w:rPr>
                <w:b/>
                <w:bCs/>
                <w:sz w:val="21"/>
                <w:szCs w:val="21"/>
                <w:lang w:val="es-ES_tradnl"/>
              </w:rPr>
              <w:t xml:space="preserve">SEGUNDO. </w:t>
            </w:r>
            <w:r w:rsidR="00BA5B04" w:rsidRPr="00F715E7">
              <w:rPr>
                <w:sz w:val="21"/>
                <w:szCs w:val="21"/>
                <w:lang w:val="es-ES_tradnl"/>
              </w:rPr>
              <w:t xml:space="preserve">Se reconoce la validez del artículo 50, apartado A, fracción I, del Código Número 577 Electoral para el Estado de Veracruz de Ignacio de la </w:t>
            </w:r>
            <w:r w:rsidR="00BA5B04" w:rsidRPr="00F715E7">
              <w:rPr>
                <w:sz w:val="21"/>
                <w:szCs w:val="21"/>
                <w:lang w:val="es-ES_tradnl"/>
              </w:rPr>
              <w:lastRenderedPageBreak/>
              <w:t>Llave, reformado mediante el Decreto número 2, publicado en el Periódico Oficial de dicha entidad federativa el veintiocho de diciembre de dos mil veintiuno, de conformidad con el apartado VI de esta decisión.</w:t>
            </w:r>
          </w:p>
          <w:p w14:paraId="30F785DE" w14:textId="4A7B855C" w:rsidR="00DC7C30" w:rsidRPr="00F715E7" w:rsidRDefault="00FB390C" w:rsidP="0098787A">
            <w:pPr>
              <w:spacing w:before="0" w:after="0" w:line="240" w:lineRule="auto"/>
              <w:cnfStyle w:val="000000000000" w:firstRow="0" w:lastRow="0" w:firstColumn="0" w:lastColumn="0" w:oddVBand="0" w:evenVBand="0" w:oddHBand="0" w:evenHBand="0" w:firstRowFirstColumn="0" w:firstRowLastColumn="0" w:lastRowFirstColumn="0" w:lastRowLastColumn="0"/>
              <w:rPr>
                <w:sz w:val="21"/>
                <w:szCs w:val="21"/>
                <w:lang w:val="es-ES_tradnl"/>
              </w:rPr>
            </w:pPr>
            <w:r w:rsidRPr="00F715E7">
              <w:rPr>
                <w:b/>
                <w:bCs/>
                <w:sz w:val="21"/>
                <w:szCs w:val="21"/>
                <w:lang w:val="es-ES_tradnl"/>
              </w:rPr>
              <w:t xml:space="preserve">TERCERO. </w:t>
            </w:r>
            <w:r w:rsidRPr="00F715E7">
              <w:rPr>
                <w:sz w:val="21"/>
                <w:szCs w:val="21"/>
                <w:lang w:val="es-ES_tradnl"/>
              </w:rPr>
              <w:t>Publíquese esta resolución en el Semanario Judicial de la Federación y su Gaceta</w:t>
            </w:r>
            <w:r w:rsidR="00C93E70" w:rsidRPr="00F715E7">
              <w:rPr>
                <w:sz w:val="21"/>
                <w:szCs w:val="21"/>
                <w:lang w:val="es-ES_tradnl"/>
              </w:rPr>
              <w:t>.</w:t>
            </w:r>
          </w:p>
        </w:tc>
        <w:tc>
          <w:tcPr>
            <w:tcW w:w="993" w:type="dxa"/>
            <w:tcBorders>
              <w:top w:val="single" w:sz="4" w:space="0" w:color="auto"/>
              <w:left w:val="single" w:sz="4" w:space="0" w:color="auto"/>
              <w:bottom w:val="single" w:sz="4" w:space="0" w:color="auto"/>
              <w:right w:val="single" w:sz="4" w:space="0" w:color="auto"/>
            </w:tcBorders>
            <w:vAlign w:val="center"/>
          </w:tcPr>
          <w:p w14:paraId="2FD213D0" w14:textId="07D1FCEC" w:rsidR="006100CC" w:rsidRPr="00F715E7" w:rsidRDefault="00EA0698" w:rsidP="001E1EF8">
            <w:pPr>
              <w:spacing w:before="0" w:after="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F715E7">
              <w:rPr>
                <w:sz w:val="22"/>
                <w:szCs w:val="22"/>
                <w:lang w:val="es-ES_tradnl"/>
              </w:rPr>
              <w:lastRenderedPageBreak/>
              <w:t>8</w:t>
            </w:r>
            <w:r w:rsidR="00B66133" w:rsidRPr="00F715E7">
              <w:rPr>
                <w:sz w:val="22"/>
                <w:szCs w:val="22"/>
                <w:lang w:val="es-ES_tradnl"/>
              </w:rPr>
              <w:t>6 a 87</w:t>
            </w:r>
          </w:p>
        </w:tc>
      </w:tr>
    </w:tbl>
    <w:p w14:paraId="6064D2AC" w14:textId="77777777" w:rsidR="00BA5B04" w:rsidRPr="00F715E7" w:rsidRDefault="00BA5B04" w:rsidP="001E1EF8">
      <w:pPr>
        <w:spacing w:before="0" w:after="0" w:line="259" w:lineRule="auto"/>
        <w:jc w:val="left"/>
        <w:rPr>
          <w:b/>
          <w:sz w:val="21"/>
          <w:szCs w:val="21"/>
          <w:lang w:val="es-ES_tradnl"/>
        </w:rPr>
        <w:sectPr w:rsidR="00BA5B04" w:rsidRPr="00F715E7" w:rsidSect="00685714">
          <w:headerReference w:type="even" r:id="rId8"/>
          <w:headerReference w:type="default" r:id="rId9"/>
          <w:footerReference w:type="even" r:id="rId10"/>
          <w:footerReference w:type="default" r:id="rId11"/>
          <w:pgSz w:w="12242" w:h="19295" w:code="305"/>
          <w:pgMar w:top="3402" w:right="1701" w:bottom="1701" w:left="1701" w:header="1134" w:footer="1701" w:gutter="0"/>
          <w:pgNumType w:fmt="upperRoman" w:start="1"/>
          <w:cols w:space="708"/>
          <w:titlePg/>
          <w:docGrid w:linePitch="381"/>
        </w:sectPr>
      </w:pPr>
    </w:p>
    <w:p w14:paraId="4EE49D61" w14:textId="1E98AD62" w:rsidR="00F54D3F" w:rsidRPr="00F715E7" w:rsidRDefault="00F54D3F" w:rsidP="001E1EF8">
      <w:pPr>
        <w:spacing w:before="0" w:after="0" w:line="259" w:lineRule="auto"/>
        <w:jc w:val="left"/>
        <w:rPr>
          <w:b/>
          <w:sz w:val="21"/>
          <w:szCs w:val="21"/>
          <w:lang w:val="es-ES_tradnl"/>
        </w:rPr>
      </w:pPr>
    </w:p>
    <w:p w14:paraId="3A598776" w14:textId="77777777" w:rsidR="00D51F6C" w:rsidRPr="00F715E7" w:rsidRDefault="00D51F6C" w:rsidP="001E1EF8">
      <w:pPr>
        <w:pStyle w:val="Textodebloque1"/>
        <w:ind w:left="3969"/>
        <w:rPr>
          <w:rFonts w:cs="Arial"/>
          <w:sz w:val="26"/>
          <w:szCs w:val="26"/>
        </w:rPr>
      </w:pPr>
      <w:r w:rsidRPr="00F715E7">
        <w:rPr>
          <w:rFonts w:cs="Arial"/>
          <w:sz w:val="26"/>
          <w:szCs w:val="26"/>
        </w:rPr>
        <w:t>ACCIÓN DE INCONSTITUCIONALIDAD 3/2022 Y SUS ACUMULADAS 8/2022, 10/2022, 16/2022 Y 17/2022</w:t>
      </w:r>
    </w:p>
    <w:p w14:paraId="17AE93DC" w14:textId="77777777" w:rsidR="00D51F6C" w:rsidRPr="00F715E7" w:rsidRDefault="00D51F6C" w:rsidP="001E1EF8">
      <w:pPr>
        <w:pStyle w:val="Textodebloque1"/>
        <w:ind w:left="3969"/>
        <w:rPr>
          <w:rFonts w:cs="Arial"/>
          <w:sz w:val="26"/>
          <w:szCs w:val="26"/>
        </w:rPr>
      </w:pPr>
      <w:r w:rsidRPr="00F715E7">
        <w:rPr>
          <w:rFonts w:cs="Arial"/>
          <w:sz w:val="26"/>
          <w:szCs w:val="26"/>
        </w:rPr>
        <w:t>PROMOVENTES: PARTIDO DEL TRABAJO, PARTIDO VERDE ECOLOGISTA DE MÉXICO, PARTIDO DE LA REVOLUCIÓN DEMOCRÁTICA, PARTIDO ACCIÓN NACIONAL Y PARTIDO REVOLUCIONARIO INSTITUCIONAL</w:t>
      </w:r>
    </w:p>
    <w:p w14:paraId="1E726BFD" w14:textId="77777777" w:rsidR="00711EFA" w:rsidRPr="00F715E7" w:rsidRDefault="00711EFA" w:rsidP="0098787A">
      <w:pPr>
        <w:spacing w:before="0" w:after="0" w:line="240" w:lineRule="auto"/>
        <w:ind w:right="6713"/>
        <w:rPr>
          <w:sz w:val="16"/>
        </w:rPr>
      </w:pPr>
    </w:p>
    <w:p w14:paraId="7EAE0F59" w14:textId="77777777" w:rsidR="00101C96" w:rsidRPr="00F715E7" w:rsidRDefault="00101C96" w:rsidP="0098787A">
      <w:pPr>
        <w:spacing w:before="0" w:after="0" w:line="240" w:lineRule="auto"/>
        <w:ind w:right="6713"/>
        <w:rPr>
          <w:sz w:val="16"/>
        </w:rPr>
      </w:pPr>
    </w:p>
    <w:p w14:paraId="06C8AC36" w14:textId="77777777" w:rsidR="00101C96" w:rsidRPr="00F715E7" w:rsidRDefault="00101C96" w:rsidP="0098787A">
      <w:pPr>
        <w:spacing w:before="0" w:after="0" w:line="240" w:lineRule="auto"/>
        <w:ind w:right="6713"/>
        <w:rPr>
          <w:sz w:val="16"/>
        </w:rPr>
      </w:pPr>
    </w:p>
    <w:p w14:paraId="1FFA74B8" w14:textId="768FD419" w:rsidR="00711EFA" w:rsidRPr="00F715E7" w:rsidRDefault="00711EFA" w:rsidP="0098787A">
      <w:pPr>
        <w:spacing w:before="0" w:after="0" w:line="240" w:lineRule="auto"/>
        <w:ind w:right="6713"/>
        <w:rPr>
          <w:sz w:val="16"/>
        </w:rPr>
      </w:pPr>
      <w:r w:rsidRPr="00F715E7">
        <w:rPr>
          <w:sz w:val="16"/>
        </w:rPr>
        <w:t xml:space="preserve">VISTO BUENO </w:t>
      </w:r>
    </w:p>
    <w:p w14:paraId="6CDCB395" w14:textId="4C785A37" w:rsidR="00067F5A" w:rsidRPr="00F715E7" w:rsidRDefault="00711EFA" w:rsidP="0098787A">
      <w:pPr>
        <w:spacing w:before="0" w:after="0" w:line="240" w:lineRule="auto"/>
        <w:ind w:right="6713"/>
        <w:rPr>
          <w:sz w:val="16"/>
        </w:rPr>
      </w:pPr>
      <w:r w:rsidRPr="00F715E7">
        <w:rPr>
          <w:sz w:val="16"/>
        </w:rPr>
        <w:t>SRA. MINISTRA</w:t>
      </w:r>
    </w:p>
    <w:p w14:paraId="69E25988" w14:textId="5BB5B37F" w:rsidR="00694C85" w:rsidRPr="00F715E7" w:rsidRDefault="00694C85" w:rsidP="0098787A">
      <w:pPr>
        <w:spacing w:before="0" w:after="0" w:line="240" w:lineRule="auto"/>
        <w:outlineLvl w:val="0"/>
        <w:rPr>
          <w:b/>
          <w:caps/>
          <w:spacing w:val="-18"/>
          <w:sz w:val="26"/>
          <w:szCs w:val="26"/>
          <w:lang w:eastAsia="es-MX"/>
        </w:rPr>
      </w:pPr>
      <w:r w:rsidRPr="00F715E7">
        <w:rPr>
          <w:b/>
          <w:caps/>
          <w:spacing w:val="-18"/>
          <w:sz w:val="26"/>
          <w:szCs w:val="26"/>
          <w:lang w:eastAsia="es-MX"/>
        </w:rPr>
        <w:t xml:space="preserve">PONENTE: </w:t>
      </w:r>
      <w:r w:rsidR="004058AD" w:rsidRPr="00F715E7">
        <w:rPr>
          <w:b/>
          <w:caps/>
          <w:spacing w:val="-18"/>
          <w:sz w:val="26"/>
          <w:szCs w:val="26"/>
          <w:lang w:eastAsia="es-MX"/>
        </w:rPr>
        <w:t xml:space="preserve">Ministra </w:t>
      </w:r>
      <w:r w:rsidRPr="00F715E7">
        <w:rPr>
          <w:b/>
          <w:caps/>
          <w:spacing w:val="-18"/>
          <w:sz w:val="26"/>
          <w:szCs w:val="26"/>
          <w:lang w:eastAsia="es-MX"/>
        </w:rPr>
        <w:t>loretta ortiz ahlf</w:t>
      </w:r>
    </w:p>
    <w:p w14:paraId="6BC1F962" w14:textId="38A638C6" w:rsidR="000272DB" w:rsidRPr="00F715E7" w:rsidRDefault="000272DB" w:rsidP="0098787A">
      <w:pPr>
        <w:autoSpaceDE w:val="0"/>
        <w:autoSpaceDN w:val="0"/>
        <w:adjustRightInd w:val="0"/>
        <w:spacing w:before="0" w:after="0" w:line="240" w:lineRule="auto"/>
        <w:outlineLvl w:val="0"/>
        <w:rPr>
          <w:b/>
          <w:sz w:val="16"/>
        </w:rPr>
      </w:pPr>
    </w:p>
    <w:p w14:paraId="5BDCD97F" w14:textId="7E9753AA" w:rsidR="00F54D3F" w:rsidRPr="00F715E7" w:rsidRDefault="00F54D3F" w:rsidP="0098787A">
      <w:pPr>
        <w:spacing w:before="0" w:after="0" w:line="240" w:lineRule="auto"/>
        <w:rPr>
          <w:bCs/>
          <w:sz w:val="16"/>
        </w:rPr>
      </w:pPr>
      <w:r w:rsidRPr="00F715E7">
        <w:rPr>
          <w:bCs/>
          <w:sz w:val="16"/>
        </w:rPr>
        <w:t>COTEJÓ</w:t>
      </w:r>
    </w:p>
    <w:p w14:paraId="09AA6736" w14:textId="64B3F077" w:rsidR="00D51F6C" w:rsidRPr="00F715E7" w:rsidRDefault="00D51F6C" w:rsidP="0098787A">
      <w:pPr>
        <w:spacing w:before="0" w:after="0" w:line="240" w:lineRule="auto"/>
        <w:rPr>
          <w:b/>
          <w:sz w:val="26"/>
          <w:szCs w:val="26"/>
        </w:rPr>
      </w:pPr>
      <w:r w:rsidRPr="00F715E7">
        <w:rPr>
          <w:b/>
          <w:sz w:val="26"/>
          <w:szCs w:val="26"/>
        </w:rPr>
        <w:t xml:space="preserve">SECRETARIA: DIANA </w:t>
      </w:r>
      <w:r w:rsidR="00950EB9" w:rsidRPr="00F715E7">
        <w:rPr>
          <w:b/>
          <w:sz w:val="26"/>
          <w:szCs w:val="26"/>
        </w:rPr>
        <w:t>RANGEL</w:t>
      </w:r>
      <w:r w:rsidRPr="00F715E7">
        <w:rPr>
          <w:b/>
          <w:sz w:val="26"/>
          <w:szCs w:val="26"/>
        </w:rPr>
        <w:t xml:space="preserve"> LEÓN</w:t>
      </w:r>
    </w:p>
    <w:p w14:paraId="69462575" w14:textId="661D038F" w:rsidR="00D51F6C" w:rsidRPr="00F715E7" w:rsidRDefault="00D51F6C" w:rsidP="0098787A">
      <w:pPr>
        <w:spacing w:before="0" w:after="0" w:line="240" w:lineRule="auto"/>
        <w:rPr>
          <w:b/>
          <w:sz w:val="26"/>
          <w:szCs w:val="26"/>
        </w:rPr>
      </w:pPr>
      <w:r w:rsidRPr="00F715E7">
        <w:rPr>
          <w:b/>
          <w:sz w:val="26"/>
          <w:szCs w:val="26"/>
        </w:rPr>
        <w:t>SECRETARIO AUXILIAR: RAMÓN JURADO GUERRERO</w:t>
      </w:r>
    </w:p>
    <w:p w14:paraId="4317E51A" w14:textId="110513BA" w:rsidR="00D51F6C" w:rsidRPr="00F715E7" w:rsidRDefault="00D51F6C" w:rsidP="0098787A">
      <w:pPr>
        <w:spacing w:before="0" w:after="0" w:line="240" w:lineRule="auto"/>
        <w:rPr>
          <w:b/>
          <w:sz w:val="26"/>
          <w:szCs w:val="26"/>
        </w:rPr>
      </w:pPr>
    </w:p>
    <w:p w14:paraId="0AD27FF8" w14:textId="77777777" w:rsidR="00C2193E" w:rsidRPr="00F715E7" w:rsidRDefault="00C2193E" w:rsidP="0098787A">
      <w:pPr>
        <w:spacing w:before="0" w:after="0" w:line="240" w:lineRule="auto"/>
        <w:rPr>
          <w:b/>
          <w:sz w:val="26"/>
          <w:szCs w:val="26"/>
        </w:rPr>
      </w:pPr>
    </w:p>
    <w:p w14:paraId="16383171" w14:textId="3F32D3F6" w:rsidR="006A268D" w:rsidRPr="00F715E7" w:rsidRDefault="006F77A4" w:rsidP="00A85C0C">
      <w:pPr>
        <w:pStyle w:val="sentencia"/>
        <w:spacing w:before="0" w:after="0"/>
        <w:ind w:firstLine="0"/>
        <w:rPr>
          <w:sz w:val="26"/>
          <w:szCs w:val="26"/>
        </w:rPr>
      </w:pPr>
      <w:r w:rsidRPr="00F715E7">
        <w:rPr>
          <w:sz w:val="26"/>
          <w:szCs w:val="26"/>
        </w:rPr>
        <w:t>C</w:t>
      </w:r>
      <w:r w:rsidR="00181FDE" w:rsidRPr="00F715E7">
        <w:rPr>
          <w:sz w:val="26"/>
          <w:szCs w:val="26"/>
        </w:rPr>
        <w:t>iudad de México.</w:t>
      </w:r>
      <w:r w:rsidR="004058AD" w:rsidRPr="00F715E7">
        <w:rPr>
          <w:sz w:val="26"/>
          <w:szCs w:val="26"/>
        </w:rPr>
        <w:t xml:space="preserve"> </w:t>
      </w:r>
      <w:r w:rsidR="00C11CC4" w:rsidRPr="00F715E7">
        <w:rPr>
          <w:sz w:val="26"/>
          <w:szCs w:val="26"/>
        </w:rPr>
        <w:t xml:space="preserve">El </w:t>
      </w:r>
      <w:r w:rsidR="004058AD" w:rsidRPr="00F715E7">
        <w:rPr>
          <w:sz w:val="26"/>
          <w:szCs w:val="26"/>
        </w:rPr>
        <w:t xml:space="preserve">Pleno de la Suprema Corte de Justicia de la Nación, en sesión correspondiente al </w:t>
      </w:r>
      <w:r w:rsidR="0011795E" w:rsidRPr="00F715E7">
        <w:rPr>
          <w:sz w:val="26"/>
          <w:szCs w:val="26"/>
        </w:rPr>
        <w:t>primero de septiembre de dos mil veintidós</w:t>
      </w:r>
      <w:r w:rsidR="004058AD" w:rsidRPr="00F715E7">
        <w:rPr>
          <w:sz w:val="26"/>
          <w:szCs w:val="26"/>
        </w:rPr>
        <w:t>, emite la siguiente:</w:t>
      </w:r>
    </w:p>
    <w:p w14:paraId="5CCFB125" w14:textId="77777777" w:rsidR="00A85C0C" w:rsidRPr="00F715E7" w:rsidRDefault="00A85C0C" w:rsidP="001E1EF8">
      <w:pPr>
        <w:pStyle w:val="sentencia"/>
        <w:spacing w:before="0" w:after="0"/>
        <w:ind w:firstLine="0"/>
        <w:rPr>
          <w:sz w:val="26"/>
          <w:szCs w:val="26"/>
        </w:rPr>
      </w:pPr>
    </w:p>
    <w:p w14:paraId="04CD8050" w14:textId="5779D7A9" w:rsidR="001B7AB5" w:rsidRPr="00F715E7" w:rsidRDefault="001B7AB5" w:rsidP="00A85C0C">
      <w:pPr>
        <w:pStyle w:val="Sinespaciado"/>
        <w:spacing w:before="0" w:after="0"/>
        <w:rPr>
          <w:sz w:val="26"/>
          <w:szCs w:val="26"/>
        </w:rPr>
      </w:pPr>
      <w:bookmarkStart w:id="0" w:name="_Toc22741497"/>
      <w:bookmarkStart w:id="1" w:name="_Toc22741808"/>
      <w:bookmarkStart w:id="2" w:name="_Toc22742028"/>
      <w:bookmarkStart w:id="3" w:name="_Toc22807335"/>
      <w:bookmarkStart w:id="4" w:name="_Toc34914757"/>
      <w:bookmarkStart w:id="5" w:name="_Toc69888798"/>
      <w:r w:rsidRPr="00F715E7">
        <w:rPr>
          <w:sz w:val="26"/>
          <w:szCs w:val="26"/>
        </w:rPr>
        <w:t>SENTENCIA</w:t>
      </w:r>
      <w:bookmarkEnd w:id="0"/>
      <w:bookmarkEnd w:id="1"/>
      <w:bookmarkEnd w:id="2"/>
      <w:bookmarkEnd w:id="3"/>
      <w:bookmarkEnd w:id="4"/>
      <w:bookmarkEnd w:id="5"/>
    </w:p>
    <w:p w14:paraId="7853496E" w14:textId="77777777" w:rsidR="00A85C0C" w:rsidRPr="00F715E7" w:rsidRDefault="00A85C0C" w:rsidP="001E1EF8">
      <w:pPr>
        <w:pStyle w:val="normal2"/>
        <w:spacing w:before="0" w:after="0"/>
      </w:pPr>
    </w:p>
    <w:p w14:paraId="22A53E2D" w14:textId="1DB42845" w:rsidR="00A31A6B" w:rsidRPr="00F715E7" w:rsidRDefault="00A31A6B" w:rsidP="001E1EF8">
      <w:pPr>
        <w:pStyle w:val="normal2"/>
        <w:spacing w:before="0" w:after="0"/>
        <w:rPr>
          <w:sz w:val="26"/>
          <w:szCs w:val="26"/>
        </w:rPr>
      </w:pPr>
      <w:r w:rsidRPr="00F715E7">
        <w:rPr>
          <w:sz w:val="26"/>
          <w:szCs w:val="26"/>
        </w:rPr>
        <w:t xml:space="preserve">Mediante la </w:t>
      </w:r>
      <w:r w:rsidR="00253A99" w:rsidRPr="00F715E7">
        <w:rPr>
          <w:sz w:val="26"/>
          <w:szCs w:val="26"/>
        </w:rPr>
        <w:t>cual</w:t>
      </w:r>
      <w:r w:rsidRPr="00F715E7">
        <w:rPr>
          <w:sz w:val="26"/>
          <w:szCs w:val="26"/>
        </w:rPr>
        <w:t xml:space="preserve"> se resuelve la </w:t>
      </w:r>
      <w:r w:rsidR="00A85C0C" w:rsidRPr="00F715E7">
        <w:rPr>
          <w:sz w:val="26"/>
          <w:szCs w:val="26"/>
        </w:rPr>
        <w:t>A</w:t>
      </w:r>
      <w:r w:rsidRPr="00F715E7">
        <w:rPr>
          <w:sz w:val="26"/>
          <w:szCs w:val="26"/>
        </w:rPr>
        <w:t xml:space="preserve">cción de </w:t>
      </w:r>
      <w:r w:rsidR="00A85C0C" w:rsidRPr="00F715E7">
        <w:rPr>
          <w:sz w:val="26"/>
          <w:szCs w:val="26"/>
        </w:rPr>
        <w:t>I</w:t>
      </w:r>
      <w:r w:rsidRPr="00F715E7">
        <w:rPr>
          <w:sz w:val="26"/>
          <w:szCs w:val="26"/>
        </w:rPr>
        <w:t xml:space="preserve">nconstitucionalidad </w:t>
      </w:r>
      <w:r w:rsidRPr="00F715E7">
        <w:rPr>
          <w:b/>
          <w:sz w:val="26"/>
          <w:szCs w:val="26"/>
          <w:lang w:val="es-ES_tradnl"/>
        </w:rPr>
        <w:t>3/2022</w:t>
      </w:r>
      <w:r w:rsidRPr="00F715E7">
        <w:rPr>
          <w:bCs/>
          <w:sz w:val="26"/>
          <w:szCs w:val="26"/>
          <w:lang w:val="es-ES_tradnl"/>
        </w:rPr>
        <w:t xml:space="preserve"> y sus acumuladas </w:t>
      </w:r>
      <w:r w:rsidRPr="00F715E7">
        <w:rPr>
          <w:b/>
          <w:sz w:val="26"/>
          <w:szCs w:val="26"/>
          <w:lang w:val="es-ES_tradnl"/>
        </w:rPr>
        <w:t>8/2022</w:t>
      </w:r>
      <w:r w:rsidRPr="00F715E7">
        <w:rPr>
          <w:bCs/>
          <w:sz w:val="26"/>
          <w:szCs w:val="26"/>
          <w:lang w:val="es-ES_tradnl"/>
        </w:rPr>
        <w:t xml:space="preserve">, </w:t>
      </w:r>
      <w:r w:rsidRPr="00F715E7">
        <w:rPr>
          <w:b/>
          <w:sz w:val="26"/>
          <w:szCs w:val="26"/>
          <w:lang w:val="es-ES_tradnl"/>
        </w:rPr>
        <w:t>10/2022</w:t>
      </w:r>
      <w:r w:rsidRPr="00F715E7">
        <w:rPr>
          <w:bCs/>
          <w:sz w:val="26"/>
          <w:szCs w:val="26"/>
          <w:lang w:val="es-ES_tradnl"/>
        </w:rPr>
        <w:t xml:space="preserve">, </w:t>
      </w:r>
      <w:r w:rsidRPr="00F715E7">
        <w:rPr>
          <w:b/>
          <w:sz w:val="26"/>
          <w:szCs w:val="26"/>
          <w:lang w:val="es-ES_tradnl"/>
        </w:rPr>
        <w:t>16/2022</w:t>
      </w:r>
      <w:r w:rsidRPr="00F715E7">
        <w:rPr>
          <w:bCs/>
          <w:sz w:val="26"/>
          <w:szCs w:val="26"/>
          <w:lang w:val="es-ES_tradnl"/>
        </w:rPr>
        <w:t xml:space="preserve"> y </w:t>
      </w:r>
      <w:r w:rsidRPr="00F715E7">
        <w:rPr>
          <w:b/>
          <w:sz w:val="26"/>
          <w:szCs w:val="26"/>
          <w:lang w:val="es-ES_tradnl"/>
        </w:rPr>
        <w:t>17/2022</w:t>
      </w:r>
      <w:r w:rsidRPr="00F715E7">
        <w:rPr>
          <w:sz w:val="26"/>
          <w:szCs w:val="26"/>
        </w:rPr>
        <w:t xml:space="preserve">, promovidas por el Partido del Trabajo, Partido Verde Ecologista de México, Partido de la Revolución Democrática, Partido Acción Nacional y Partido Revolucionario Institucional, respectivamente, en contra del artículo 50, apartado A, fracción I, del Código Electoral para el Estado de Veracruz, reformado mediante el Decreto número 2, publicado </w:t>
      </w:r>
      <w:r w:rsidR="008F23BE" w:rsidRPr="00F715E7">
        <w:rPr>
          <w:sz w:val="26"/>
          <w:szCs w:val="26"/>
        </w:rPr>
        <w:t xml:space="preserve">en la Gaceta Oficial del Estado de Veracruz de Ignacio de la Llave, </w:t>
      </w:r>
      <w:r w:rsidRPr="00F715E7">
        <w:rPr>
          <w:sz w:val="26"/>
          <w:szCs w:val="26"/>
        </w:rPr>
        <w:t>el veintiocho de diciembre de dos mil veintiuno.</w:t>
      </w:r>
    </w:p>
    <w:p w14:paraId="14B1E47F" w14:textId="611D33BB" w:rsidR="00C26F40" w:rsidRPr="00F715E7" w:rsidRDefault="00C26F40" w:rsidP="00564DEC">
      <w:pPr>
        <w:pStyle w:val="Ttulo1"/>
        <w:numPr>
          <w:ilvl w:val="0"/>
          <w:numId w:val="0"/>
        </w:numPr>
        <w:spacing w:before="0" w:after="0"/>
        <w:jc w:val="both"/>
      </w:pPr>
    </w:p>
    <w:p w14:paraId="38568292" w14:textId="69DBFB9F" w:rsidR="00564DEC" w:rsidRPr="00F715E7" w:rsidRDefault="00564DEC" w:rsidP="00564DEC"/>
    <w:p w14:paraId="3750E1C6" w14:textId="77777777" w:rsidR="00564DEC" w:rsidRPr="00F715E7" w:rsidRDefault="00564DEC" w:rsidP="00564DEC"/>
    <w:p w14:paraId="1CCD7062" w14:textId="247BAB9D" w:rsidR="006F77A4" w:rsidRPr="00F715E7" w:rsidRDefault="000D349C" w:rsidP="0098787A">
      <w:pPr>
        <w:pStyle w:val="Ttulo1"/>
        <w:numPr>
          <w:ilvl w:val="0"/>
          <w:numId w:val="0"/>
        </w:numPr>
        <w:spacing w:before="0" w:after="0"/>
        <w:rPr>
          <w:sz w:val="26"/>
          <w:szCs w:val="26"/>
        </w:rPr>
      </w:pPr>
      <w:bookmarkStart w:id="6" w:name="_Toc34914758"/>
      <w:bookmarkStart w:id="7" w:name="_Toc69888799"/>
      <w:r w:rsidRPr="00F715E7">
        <w:rPr>
          <w:sz w:val="26"/>
          <w:szCs w:val="26"/>
        </w:rPr>
        <w:lastRenderedPageBreak/>
        <w:t>ANTECEDENTES</w:t>
      </w:r>
      <w:r w:rsidR="00A31A6B" w:rsidRPr="00F715E7">
        <w:rPr>
          <w:sz w:val="26"/>
          <w:szCs w:val="26"/>
        </w:rPr>
        <w:t>,</w:t>
      </w:r>
      <w:r w:rsidRPr="00F715E7">
        <w:rPr>
          <w:sz w:val="26"/>
          <w:szCs w:val="26"/>
        </w:rPr>
        <w:t xml:space="preserve"> </w:t>
      </w:r>
      <w:r w:rsidR="00955BE5" w:rsidRPr="00F715E7">
        <w:rPr>
          <w:sz w:val="26"/>
          <w:szCs w:val="26"/>
        </w:rPr>
        <w:t>TRÁMITE</w:t>
      </w:r>
      <w:bookmarkEnd w:id="6"/>
      <w:bookmarkEnd w:id="7"/>
      <w:r w:rsidRPr="00F715E7">
        <w:rPr>
          <w:sz w:val="26"/>
          <w:szCs w:val="26"/>
        </w:rPr>
        <w:t xml:space="preserve"> DE LA</w:t>
      </w:r>
      <w:r w:rsidR="00A31A6B" w:rsidRPr="00F715E7">
        <w:rPr>
          <w:sz w:val="26"/>
          <w:szCs w:val="26"/>
        </w:rPr>
        <w:t>S</w:t>
      </w:r>
      <w:r w:rsidRPr="00F715E7">
        <w:rPr>
          <w:sz w:val="26"/>
          <w:szCs w:val="26"/>
        </w:rPr>
        <w:t xml:space="preserve"> DEMANDA</w:t>
      </w:r>
      <w:r w:rsidR="008A1A1A" w:rsidRPr="00F715E7">
        <w:rPr>
          <w:sz w:val="26"/>
          <w:szCs w:val="26"/>
        </w:rPr>
        <w:t>S</w:t>
      </w:r>
      <w:r w:rsidR="00A31A6B" w:rsidRPr="00F715E7">
        <w:rPr>
          <w:sz w:val="26"/>
          <w:szCs w:val="26"/>
        </w:rPr>
        <w:t xml:space="preserve"> Y ACUMULACIÓN</w:t>
      </w:r>
      <w:r w:rsidR="00F14AA9">
        <w:rPr>
          <w:sz w:val="26"/>
          <w:szCs w:val="26"/>
        </w:rPr>
        <w:t>.</w:t>
      </w:r>
    </w:p>
    <w:p w14:paraId="2CF1C5E4" w14:textId="77777777" w:rsidR="00A85C0C" w:rsidRPr="00F715E7" w:rsidRDefault="00A85C0C" w:rsidP="00564DEC">
      <w:pPr>
        <w:pStyle w:val="normal2"/>
        <w:spacing w:before="0" w:after="0"/>
        <w:rPr>
          <w:sz w:val="26"/>
          <w:szCs w:val="26"/>
        </w:rPr>
      </w:pPr>
    </w:p>
    <w:p w14:paraId="66F08476" w14:textId="1EBE36C8" w:rsidR="00253A99" w:rsidRPr="00F715E7" w:rsidRDefault="00C93BF8" w:rsidP="001E1EF8">
      <w:pPr>
        <w:pStyle w:val="Estilo1"/>
        <w:widowControl w:val="0"/>
        <w:numPr>
          <w:ilvl w:val="0"/>
          <w:numId w:val="6"/>
        </w:numPr>
        <w:tabs>
          <w:tab w:val="left" w:pos="426"/>
        </w:tabs>
        <w:autoSpaceDE w:val="0"/>
        <w:autoSpaceDN w:val="0"/>
        <w:spacing w:before="0" w:after="0"/>
        <w:ind w:left="0"/>
        <w:rPr>
          <w:rFonts w:eastAsia="Arial"/>
          <w:bCs/>
          <w:sz w:val="26"/>
          <w:szCs w:val="26"/>
          <w:lang w:bidi="es-MX"/>
        </w:rPr>
      </w:pPr>
      <w:r w:rsidRPr="00F715E7">
        <w:rPr>
          <w:rFonts w:eastAsia="Arial"/>
          <w:b/>
          <w:sz w:val="26"/>
          <w:szCs w:val="26"/>
          <w:lang w:bidi="es-MX"/>
        </w:rPr>
        <w:t xml:space="preserve">Presentación </w:t>
      </w:r>
      <w:r w:rsidR="00253A99" w:rsidRPr="00F715E7">
        <w:rPr>
          <w:rFonts w:eastAsia="Arial"/>
          <w:b/>
          <w:sz w:val="26"/>
          <w:szCs w:val="26"/>
          <w:lang w:bidi="es-MX"/>
        </w:rPr>
        <w:t xml:space="preserve">de los escritos iniciales. </w:t>
      </w:r>
      <w:r w:rsidR="00253A99" w:rsidRPr="00F715E7">
        <w:rPr>
          <w:rFonts w:eastAsia="Arial"/>
          <w:bCs/>
          <w:sz w:val="26"/>
          <w:szCs w:val="26"/>
          <w:lang w:bidi="es-MX"/>
        </w:rPr>
        <w:t>La presente acción de inconstitucionalidad y sus acumuladas se presentaron de la siguiente forma:</w:t>
      </w:r>
    </w:p>
    <w:p w14:paraId="20758DFB" w14:textId="58D489E2" w:rsidR="00253A99" w:rsidRPr="00F715E7" w:rsidRDefault="00253A99" w:rsidP="001E1EF8">
      <w:pPr>
        <w:pStyle w:val="Estilo1"/>
        <w:widowControl w:val="0"/>
        <w:numPr>
          <w:ilvl w:val="0"/>
          <w:numId w:val="0"/>
        </w:numPr>
        <w:tabs>
          <w:tab w:val="left" w:pos="426"/>
        </w:tabs>
        <w:autoSpaceDE w:val="0"/>
        <w:autoSpaceDN w:val="0"/>
        <w:spacing w:before="0" w:after="0"/>
        <w:rPr>
          <w:rFonts w:eastAsia="Arial"/>
          <w:b/>
          <w:sz w:val="26"/>
          <w:szCs w:val="26"/>
          <w:lang w:bidi="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4420"/>
      </w:tblGrid>
      <w:tr w:rsidR="00CF035E" w:rsidRPr="00F715E7" w14:paraId="1EEB5A4F" w14:textId="77777777" w:rsidTr="007E32F5">
        <w:tc>
          <w:tcPr>
            <w:tcW w:w="4302" w:type="dxa"/>
            <w:shd w:val="clear" w:color="auto" w:fill="D9D9D9" w:themeFill="background1" w:themeFillShade="D9"/>
            <w:vAlign w:val="center"/>
          </w:tcPr>
          <w:p w14:paraId="0FC5EB57" w14:textId="7CB66AE0" w:rsidR="001D25F4" w:rsidRPr="00F715E7" w:rsidRDefault="001D25F4" w:rsidP="0098787A">
            <w:pPr>
              <w:pStyle w:val="corte4fondo"/>
              <w:ind w:left="360" w:firstLine="0"/>
              <w:jc w:val="center"/>
              <w:rPr>
                <w:b/>
                <w:sz w:val="24"/>
              </w:rPr>
            </w:pPr>
            <w:r w:rsidRPr="00F715E7">
              <w:rPr>
                <w:b/>
                <w:sz w:val="24"/>
              </w:rPr>
              <w:t>Fecha y lugar de presentación</w:t>
            </w:r>
          </w:p>
        </w:tc>
        <w:tc>
          <w:tcPr>
            <w:tcW w:w="4420" w:type="dxa"/>
            <w:shd w:val="clear" w:color="auto" w:fill="D9D9D9" w:themeFill="background1" w:themeFillShade="D9"/>
            <w:vAlign w:val="center"/>
          </w:tcPr>
          <w:p w14:paraId="36E233D6" w14:textId="77777777" w:rsidR="001D25F4" w:rsidRPr="00F715E7" w:rsidRDefault="001D25F4" w:rsidP="0098787A">
            <w:pPr>
              <w:pStyle w:val="corte4fondo"/>
              <w:ind w:firstLine="0"/>
              <w:jc w:val="center"/>
              <w:rPr>
                <w:b/>
                <w:sz w:val="24"/>
              </w:rPr>
            </w:pPr>
            <w:r w:rsidRPr="00F715E7">
              <w:rPr>
                <w:b/>
                <w:sz w:val="24"/>
              </w:rPr>
              <w:t>Promovente y Acción</w:t>
            </w:r>
          </w:p>
        </w:tc>
      </w:tr>
      <w:tr w:rsidR="00CF035E" w:rsidRPr="00F715E7" w14:paraId="7B1016C0" w14:textId="77777777" w:rsidTr="00C2193E">
        <w:trPr>
          <w:trHeight w:val="5903"/>
        </w:trPr>
        <w:tc>
          <w:tcPr>
            <w:tcW w:w="4302" w:type="dxa"/>
            <w:vAlign w:val="center"/>
          </w:tcPr>
          <w:p w14:paraId="45F439B4" w14:textId="0690786E" w:rsidR="001D25F4" w:rsidRPr="00F715E7" w:rsidRDefault="001D25F4" w:rsidP="0098787A">
            <w:pPr>
              <w:pStyle w:val="corte4fondo"/>
              <w:spacing w:line="240" w:lineRule="auto"/>
              <w:ind w:firstLine="0"/>
              <w:rPr>
                <w:sz w:val="24"/>
              </w:rPr>
            </w:pPr>
            <w:r w:rsidRPr="00F715E7">
              <w:rPr>
                <w:b/>
                <w:sz w:val="24"/>
              </w:rPr>
              <w:t xml:space="preserve">Veinte de enero de dos mil veintidós. </w:t>
            </w:r>
            <w:r w:rsidRPr="00F715E7">
              <w:rPr>
                <w:sz w:val="24"/>
              </w:rPr>
              <w:t>Oficina de Certificación Judicial y Correspondencia de la Suprema Corte de Justicia de la Nación.</w:t>
            </w:r>
          </w:p>
        </w:tc>
        <w:tc>
          <w:tcPr>
            <w:tcW w:w="4420" w:type="dxa"/>
            <w:vAlign w:val="center"/>
          </w:tcPr>
          <w:p w14:paraId="0A2C4024" w14:textId="48DF1280" w:rsidR="001D25F4" w:rsidRPr="00F715E7" w:rsidRDefault="001D25F4" w:rsidP="0098787A">
            <w:pPr>
              <w:pStyle w:val="corte4fondo"/>
              <w:spacing w:line="240" w:lineRule="auto"/>
              <w:ind w:firstLine="0"/>
              <w:rPr>
                <w:bCs/>
                <w:sz w:val="24"/>
              </w:rPr>
            </w:pPr>
            <w:r w:rsidRPr="00F715E7">
              <w:rPr>
                <w:b/>
                <w:sz w:val="24"/>
              </w:rPr>
              <w:t xml:space="preserve">Partido del Trabajo, </w:t>
            </w:r>
            <w:r w:rsidR="00E17C5B" w:rsidRPr="00F715E7">
              <w:rPr>
                <w:bCs/>
                <w:sz w:val="24"/>
              </w:rPr>
              <w:t>por conducto de Alberto Anaya Gutiérrez, María Guadalupe Rodríguez Martínez, Ricardo Cantú Garza, Alejandro González Yáñez, Pedro Vázquez González, Reginaldo Sandoval Flores, Óscar González Yáñez, Francisco Amadeo Espinosa Ramos, Ángel Benjamín Robles Montoya, Geovanna del Carmen Bañuelos de la Torre, María Mercedes Maciel Ortiz, Magdalena del Socorro Núñez Monreal, María del Consuelo Estrada Plata, Mary Carmen Bernal Martínez y Sonia Catalina Álvarez, quienes se ostentaron como integrantes de la Comisión Coordinadora Nacional del Partido del Trabajo.</w:t>
            </w:r>
            <w:r w:rsidR="00CA2A31" w:rsidRPr="00F715E7">
              <w:rPr>
                <w:rStyle w:val="Refdenotaalpie"/>
                <w:bCs/>
                <w:sz w:val="24"/>
              </w:rPr>
              <w:footnoteReference w:id="2"/>
            </w:r>
          </w:p>
          <w:p w14:paraId="22845ED1" w14:textId="77777777" w:rsidR="001D25F4" w:rsidRPr="00F715E7" w:rsidRDefault="001D25F4" w:rsidP="0098787A">
            <w:pPr>
              <w:pStyle w:val="corte4fondo"/>
              <w:spacing w:line="240" w:lineRule="auto"/>
              <w:ind w:firstLine="0"/>
              <w:rPr>
                <w:b/>
                <w:sz w:val="24"/>
              </w:rPr>
            </w:pPr>
          </w:p>
          <w:p w14:paraId="7A53C742" w14:textId="5465EA56" w:rsidR="001D25F4" w:rsidRPr="00F715E7" w:rsidRDefault="001D25F4" w:rsidP="0098787A">
            <w:pPr>
              <w:pStyle w:val="corte4fondo"/>
              <w:spacing w:line="240" w:lineRule="auto"/>
              <w:ind w:firstLine="0"/>
              <w:rPr>
                <w:b/>
                <w:sz w:val="24"/>
              </w:rPr>
            </w:pPr>
            <w:r w:rsidRPr="00F715E7">
              <w:rPr>
                <w:b/>
                <w:sz w:val="24"/>
              </w:rPr>
              <w:t>Acción de inconstitucionalidad</w:t>
            </w:r>
            <w:r w:rsidR="00033461" w:rsidRPr="00F715E7">
              <w:rPr>
                <w:b/>
                <w:sz w:val="24"/>
              </w:rPr>
              <w:t xml:space="preserve"> 3/2022.</w:t>
            </w:r>
          </w:p>
        </w:tc>
      </w:tr>
      <w:tr w:rsidR="00CF035E" w:rsidRPr="00F715E7" w14:paraId="143D6BAA" w14:textId="77777777" w:rsidTr="00AF66A9">
        <w:trPr>
          <w:trHeight w:val="1961"/>
        </w:trPr>
        <w:tc>
          <w:tcPr>
            <w:tcW w:w="4302" w:type="dxa"/>
            <w:vAlign w:val="center"/>
          </w:tcPr>
          <w:p w14:paraId="3345B39E" w14:textId="6B49E317" w:rsidR="001D25F4" w:rsidRPr="00F715E7" w:rsidRDefault="00107060" w:rsidP="0098787A">
            <w:pPr>
              <w:pStyle w:val="corte4fondo"/>
              <w:spacing w:line="240" w:lineRule="auto"/>
              <w:ind w:firstLine="0"/>
              <w:rPr>
                <w:sz w:val="24"/>
              </w:rPr>
            </w:pPr>
            <w:r w:rsidRPr="00F715E7">
              <w:rPr>
                <w:b/>
                <w:sz w:val="24"/>
              </w:rPr>
              <w:t>Veinticuatro de enero de dos mil veintidós</w:t>
            </w:r>
            <w:r w:rsidR="001D25F4" w:rsidRPr="00F715E7">
              <w:rPr>
                <w:b/>
                <w:sz w:val="24"/>
              </w:rPr>
              <w:t>.</w:t>
            </w:r>
            <w:r w:rsidR="001D25F4" w:rsidRPr="00F715E7">
              <w:rPr>
                <w:sz w:val="24"/>
              </w:rPr>
              <w:t xml:space="preserve"> </w:t>
            </w:r>
            <w:r w:rsidRPr="00F715E7">
              <w:rPr>
                <w:sz w:val="24"/>
              </w:rPr>
              <w:t>Sistema electrónico de la Suprema Corte de Justicia de la Nación.</w:t>
            </w:r>
          </w:p>
        </w:tc>
        <w:tc>
          <w:tcPr>
            <w:tcW w:w="4420" w:type="dxa"/>
            <w:vAlign w:val="center"/>
          </w:tcPr>
          <w:p w14:paraId="14089595" w14:textId="677930C4" w:rsidR="001D25F4" w:rsidRPr="00F715E7" w:rsidRDefault="00107060" w:rsidP="0098787A">
            <w:pPr>
              <w:pStyle w:val="corte4fondo"/>
              <w:spacing w:line="240" w:lineRule="auto"/>
              <w:ind w:firstLine="0"/>
              <w:rPr>
                <w:sz w:val="24"/>
              </w:rPr>
            </w:pPr>
            <w:r w:rsidRPr="00F715E7">
              <w:rPr>
                <w:b/>
                <w:sz w:val="24"/>
              </w:rPr>
              <w:t>Partido Verde Ecologista de México</w:t>
            </w:r>
            <w:r w:rsidR="001D25F4" w:rsidRPr="00F715E7">
              <w:rPr>
                <w:b/>
                <w:sz w:val="24"/>
              </w:rPr>
              <w:t>,</w:t>
            </w:r>
            <w:r w:rsidR="001D25F4" w:rsidRPr="00F715E7">
              <w:rPr>
                <w:sz w:val="24"/>
              </w:rPr>
              <w:t xml:space="preserve"> por conducto</w:t>
            </w:r>
            <w:r w:rsidRPr="00F715E7">
              <w:rPr>
                <w:sz w:val="24"/>
              </w:rPr>
              <w:t xml:space="preserve"> de Raúl Servín </w:t>
            </w:r>
            <w:r w:rsidR="002920D7" w:rsidRPr="00F715E7">
              <w:rPr>
                <w:sz w:val="24"/>
              </w:rPr>
              <w:t>Ramírez</w:t>
            </w:r>
            <w:r w:rsidRPr="00F715E7">
              <w:rPr>
                <w:sz w:val="24"/>
              </w:rPr>
              <w:t>, quien se ostentó como representante le</w:t>
            </w:r>
            <w:r w:rsidR="00BA23A1" w:rsidRPr="00F715E7">
              <w:rPr>
                <w:sz w:val="24"/>
              </w:rPr>
              <w:t>gal del Partido Verde Ecologista de México.</w:t>
            </w:r>
          </w:p>
          <w:p w14:paraId="285F3F29" w14:textId="77777777" w:rsidR="001D25F4" w:rsidRPr="00F715E7" w:rsidRDefault="001D25F4" w:rsidP="0098787A">
            <w:pPr>
              <w:pStyle w:val="corte4fondo"/>
              <w:spacing w:line="240" w:lineRule="auto"/>
              <w:ind w:firstLine="0"/>
              <w:rPr>
                <w:b/>
                <w:sz w:val="24"/>
              </w:rPr>
            </w:pPr>
          </w:p>
          <w:p w14:paraId="44F55EAA" w14:textId="4B8E67B9" w:rsidR="00C2193E" w:rsidRPr="00F715E7" w:rsidRDefault="001D25F4" w:rsidP="0098787A">
            <w:pPr>
              <w:pStyle w:val="corte4fondo"/>
              <w:spacing w:line="240" w:lineRule="auto"/>
              <w:ind w:firstLine="0"/>
              <w:rPr>
                <w:b/>
                <w:sz w:val="24"/>
              </w:rPr>
            </w:pPr>
            <w:r w:rsidRPr="00F715E7">
              <w:rPr>
                <w:b/>
                <w:sz w:val="24"/>
              </w:rPr>
              <w:t xml:space="preserve">Acción de inconstitucionalidad </w:t>
            </w:r>
            <w:r w:rsidR="00107060" w:rsidRPr="00F715E7">
              <w:rPr>
                <w:b/>
                <w:sz w:val="24"/>
              </w:rPr>
              <w:t>8/2022.</w:t>
            </w:r>
          </w:p>
        </w:tc>
      </w:tr>
      <w:tr w:rsidR="00CF035E" w:rsidRPr="00F715E7" w14:paraId="44099B75" w14:textId="77777777" w:rsidTr="00C2193E">
        <w:trPr>
          <w:trHeight w:val="565"/>
        </w:trPr>
        <w:tc>
          <w:tcPr>
            <w:tcW w:w="4302" w:type="dxa"/>
            <w:vAlign w:val="center"/>
          </w:tcPr>
          <w:p w14:paraId="13580C50" w14:textId="4CBCFA1A" w:rsidR="001D25F4" w:rsidRPr="00F715E7" w:rsidRDefault="00BA23A1" w:rsidP="0098787A">
            <w:pPr>
              <w:pStyle w:val="corte4fondo"/>
              <w:spacing w:line="240" w:lineRule="auto"/>
              <w:ind w:firstLine="0"/>
              <w:rPr>
                <w:b/>
                <w:sz w:val="24"/>
              </w:rPr>
            </w:pPr>
            <w:r w:rsidRPr="00F715E7">
              <w:rPr>
                <w:b/>
                <w:sz w:val="24"/>
              </w:rPr>
              <w:t xml:space="preserve">Veintiséis de enero de dos mil veintidós. </w:t>
            </w:r>
            <w:r w:rsidRPr="00F715E7">
              <w:rPr>
                <w:sz w:val="24"/>
              </w:rPr>
              <w:t xml:space="preserve">Oficina de Certificación Judicial y Correspondencia de la </w:t>
            </w:r>
            <w:r w:rsidRPr="00F715E7">
              <w:rPr>
                <w:sz w:val="24"/>
              </w:rPr>
              <w:lastRenderedPageBreak/>
              <w:t>Suprema Corte de Justicia de la Nación.</w:t>
            </w:r>
          </w:p>
        </w:tc>
        <w:tc>
          <w:tcPr>
            <w:tcW w:w="4420" w:type="dxa"/>
            <w:vAlign w:val="center"/>
          </w:tcPr>
          <w:p w14:paraId="51233CB2" w14:textId="18785370" w:rsidR="001D25F4" w:rsidRPr="00F715E7" w:rsidRDefault="00BA23A1" w:rsidP="0098787A">
            <w:pPr>
              <w:pStyle w:val="corte4fondo"/>
              <w:spacing w:line="240" w:lineRule="auto"/>
              <w:ind w:firstLine="0"/>
              <w:rPr>
                <w:bCs/>
                <w:sz w:val="24"/>
              </w:rPr>
            </w:pPr>
            <w:r w:rsidRPr="00F715E7">
              <w:rPr>
                <w:b/>
                <w:sz w:val="24"/>
              </w:rPr>
              <w:lastRenderedPageBreak/>
              <w:t xml:space="preserve">Partido de la Revolución Democrática, </w:t>
            </w:r>
            <w:r w:rsidRPr="00F715E7">
              <w:rPr>
                <w:bCs/>
                <w:sz w:val="24"/>
              </w:rPr>
              <w:t>por conducto de José de Jesús Zambrano Grijal</w:t>
            </w:r>
            <w:r w:rsidR="009C555D" w:rsidRPr="00F715E7">
              <w:rPr>
                <w:bCs/>
                <w:sz w:val="24"/>
              </w:rPr>
              <w:t>v</w:t>
            </w:r>
            <w:r w:rsidRPr="00F715E7">
              <w:rPr>
                <w:bCs/>
                <w:sz w:val="24"/>
              </w:rPr>
              <w:t xml:space="preserve">a, quien se </w:t>
            </w:r>
            <w:r w:rsidRPr="00F715E7">
              <w:rPr>
                <w:bCs/>
                <w:sz w:val="24"/>
              </w:rPr>
              <w:lastRenderedPageBreak/>
              <w:t>ostentó como Presidente de la Dirección Nacional Ejecutiva del Partido de la Revolución Democrática.</w:t>
            </w:r>
          </w:p>
          <w:p w14:paraId="5591E24B" w14:textId="77777777" w:rsidR="00BA23A1" w:rsidRPr="00F715E7" w:rsidRDefault="00BA23A1" w:rsidP="0098787A">
            <w:pPr>
              <w:pStyle w:val="corte4fondo"/>
              <w:spacing w:line="240" w:lineRule="auto"/>
              <w:ind w:firstLine="0"/>
              <w:rPr>
                <w:bCs/>
                <w:sz w:val="24"/>
              </w:rPr>
            </w:pPr>
          </w:p>
          <w:p w14:paraId="2443470E" w14:textId="31AAB263" w:rsidR="00BA23A1" w:rsidRPr="00F715E7" w:rsidRDefault="00BA23A1" w:rsidP="0098787A">
            <w:pPr>
              <w:pStyle w:val="corte4fondo"/>
              <w:spacing w:line="240" w:lineRule="auto"/>
              <w:ind w:firstLine="0"/>
              <w:rPr>
                <w:bCs/>
                <w:sz w:val="24"/>
              </w:rPr>
            </w:pPr>
            <w:r w:rsidRPr="00F715E7">
              <w:rPr>
                <w:b/>
                <w:sz w:val="24"/>
              </w:rPr>
              <w:t>Acción de inconstitucionalidad 10/2022.</w:t>
            </w:r>
          </w:p>
        </w:tc>
      </w:tr>
      <w:tr w:rsidR="00CF035E" w:rsidRPr="00F715E7" w14:paraId="2E309C87" w14:textId="77777777" w:rsidTr="00C2193E">
        <w:trPr>
          <w:trHeight w:val="2260"/>
        </w:trPr>
        <w:tc>
          <w:tcPr>
            <w:tcW w:w="4302" w:type="dxa"/>
            <w:vAlign w:val="center"/>
          </w:tcPr>
          <w:p w14:paraId="3F9DBA42" w14:textId="65AFD277" w:rsidR="001D25F4" w:rsidRPr="00F715E7" w:rsidRDefault="00BA23A1" w:rsidP="0098787A">
            <w:pPr>
              <w:pStyle w:val="corte4fondo"/>
              <w:spacing w:line="240" w:lineRule="auto"/>
              <w:ind w:firstLine="0"/>
              <w:rPr>
                <w:b/>
                <w:sz w:val="24"/>
              </w:rPr>
            </w:pPr>
            <w:r w:rsidRPr="00F715E7">
              <w:rPr>
                <w:b/>
                <w:sz w:val="24"/>
              </w:rPr>
              <w:lastRenderedPageBreak/>
              <w:t xml:space="preserve">Veintisiete de enero de dos mil veintidós. </w:t>
            </w:r>
            <w:r w:rsidRPr="00F715E7">
              <w:rPr>
                <w:sz w:val="24"/>
              </w:rPr>
              <w:t>Oficina de Certificación Judicial y Correspondencia de la Suprema Corte de Justicia de la Nación.</w:t>
            </w:r>
          </w:p>
        </w:tc>
        <w:tc>
          <w:tcPr>
            <w:tcW w:w="4420" w:type="dxa"/>
            <w:vAlign w:val="center"/>
          </w:tcPr>
          <w:p w14:paraId="388FB3DC" w14:textId="5CE80DF7" w:rsidR="00BA23A1" w:rsidRPr="00F715E7" w:rsidRDefault="00BA23A1" w:rsidP="0098787A">
            <w:pPr>
              <w:pStyle w:val="corte4fondo"/>
              <w:spacing w:line="240" w:lineRule="auto"/>
              <w:ind w:firstLine="0"/>
              <w:rPr>
                <w:bCs/>
                <w:sz w:val="24"/>
              </w:rPr>
            </w:pPr>
            <w:r w:rsidRPr="00F715E7">
              <w:rPr>
                <w:b/>
                <w:sz w:val="24"/>
              </w:rPr>
              <w:t xml:space="preserve">Partido Acción Nacional, </w:t>
            </w:r>
            <w:r w:rsidRPr="00F715E7">
              <w:rPr>
                <w:bCs/>
                <w:sz w:val="24"/>
              </w:rPr>
              <w:t xml:space="preserve">por conducto de </w:t>
            </w:r>
            <w:proofErr w:type="spellStart"/>
            <w:r w:rsidRPr="00F715E7">
              <w:rPr>
                <w:bCs/>
                <w:sz w:val="24"/>
              </w:rPr>
              <w:t>Marko</w:t>
            </w:r>
            <w:proofErr w:type="spellEnd"/>
            <w:r w:rsidRPr="00F715E7">
              <w:rPr>
                <w:bCs/>
                <w:sz w:val="24"/>
              </w:rPr>
              <w:t xml:space="preserve"> Antonio Cortés Mendoza, quien se ostentó como Presidente del Comité Ejecutivo Nacional del Partido Acción Nacional.</w:t>
            </w:r>
          </w:p>
          <w:p w14:paraId="7BF3D3F6" w14:textId="77777777" w:rsidR="00BA23A1" w:rsidRPr="00F715E7" w:rsidRDefault="00BA23A1" w:rsidP="0098787A">
            <w:pPr>
              <w:pStyle w:val="corte4fondo"/>
              <w:spacing w:line="240" w:lineRule="auto"/>
              <w:ind w:firstLine="0"/>
              <w:rPr>
                <w:bCs/>
                <w:sz w:val="24"/>
              </w:rPr>
            </w:pPr>
          </w:p>
          <w:p w14:paraId="1ACFBA73" w14:textId="64D5B710" w:rsidR="001D25F4" w:rsidRPr="00F715E7" w:rsidRDefault="00BA23A1" w:rsidP="0098787A">
            <w:pPr>
              <w:pStyle w:val="corte4fondo"/>
              <w:spacing w:line="240" w:lineRule="auto"/>
              <w:ind w:firstLine="0"/>
              <w:rPr>
                <w:b/>
                <w:sz w:val="24"/>
              </w:rPr>
            </w:pPr>
            <w:r w:rsidRPr="00F715E7">
              <w:rPr>
                <w:b/>
                <w:sz w:val="24"/>
              </w:rPr>
              <w:t>Acción de inconstitucionalidad 16/2022</w:t>
            </w:r>
          </w:p>
        </w:tc>
      </w:tr>
      <w:tr w:rsidR="00CF035E" w:rsidRPr="00F715E7" w14:paraId="0BC47C21" w14:textId="77777777" w:rsidTr="00C2193E">
        <w:trPr>
          <w:trHeight w:val="2535"/>
        </w:trPr>
        <w:tc>
          <w:tcPr>
            <w:tcW w:w="4302" w:type="dxa"/>
            <w:vAlign w:val="center"/>
          </w:tcPr>
          <w:p w14:paraId="19F1BD37" w14:textId="2809ADA8" w:rsidR="001D25F4" w:rsidRPr="00F715E7" w:rsidRDefault="00AF66A9" w:rsidP="0098787A">
            <w:pPr>
              <w:pStyle w:val="corte4fondo"/>
              <w:spacing w:line="240" w:lineRule="auto"/>
              <w:ind w:firstLine="0"/>
              <w:rPr>
                <w:b/>
                <w:sz w:val="24"/>
              </w:rPr>
            </w:pPr>
            <w:r w:rsidRPr="00F715E7">
              <w:rPr>
                <w:b/>
                <w:sz w:val="24"/>
              </w:rPr>
              <w:t>Veintisiete de enero de dos mil veintidós.</w:t>
            </w:r>
            <w:r w:rsidRPr="00F715E7">
              <w:rPr>
                <w:sz w:val="24"/>
              </w:rPr>
              <w:t xml:space="preserve"> Sistema electrónico de la Suprema Corte de Justicia de la Nación.</w:t>
            </w:r>
          </w:p>
        </w:tc>
        <w:tc>
          <w:tcPr>
            <w:tcW w:w="4420" w:type="dxa"/>
            <w:vAlign w:val="center"/>
          </w:tcPr>
          <w:p w14:paraId="6C48D882" w14:textId="3E259265" w:rsidR="00AF66A9" w:rsidRPr="00F715E7" w:rsidRDefault="00AF66A9" w:rsidP="0098787A">
            <w:pPr>
              <w:pStyle w:val="corte4fondo"/>
              <w:spacing w:line="240" w:lineRule="auto"/>
              <w:ind w:firstLine="0"/>
              <w:rPr>
                <w:bCs/>
                <w:sz w:val="24"/>
              </w:rPr>
            </w:pPr>
            <w:r w:rsidRPr="00F715E7">
              <w:rPr>
                <w:b/>
                <w:sz w:val="24"/>
              </w:rPr>
              <w:t xml:space="preserve">Partido Revolucionario Institucional, </w:t>
            </w:r>
            <w:r w:rsidRPr="00F715E7">
              <w:rPr>
                <w:bCs/>
                <w:sz w:val="24"/>
              </w:rPr>
              <w:t>por conducto de Rafael Alejandro Moreno Cárdenas, quien se ostentó como Presidente del Comité Ejecutivo Nacional del Partido Revolucionario Institucional.</w:t>
            </w:r>
          </w:p>
          <w:p w14:paraId="41A6DCCD" w14:textId="77777777" w:rsidR="00AF66A9" w:rsidRPr="00F715E7" w:rsidRDefault="00AF66A9" w:rsidP="0098787A">
            <w:pPr>
              <w:pStyle w:val="corte4fondo"/>
              <w:spacing w:line="240" w:lineRule="auto"/>
              <w:ind w:firstLine="0"/>
              <w:rPr>
                <w:bCs/>
                <w:sz w:val="24"/>
              </w:rPr>
            </w:pPr>
          </w:p>
          <w:p w14:paraId="27413615" w14:textId="79D9F76E" w:rsidR="001D25F4" w:rsidRPr="00F715E7" w:rsidRDefault="00AF66A9" w:rsidP="0098787A">
            <w:pPr>
              <w:pStyle w:val="corte4fondo"/>
              <w:spacing w:line="240" w:lineRule="auto"/>
              <w:ind w:firstLine="0"/>
              <w:rPr>
                <w:b/>
                <w:sz w:val="24"/>
              </w:rPr>
            </w:pPr>
            <w:r w:rsidRPr="00F715E7">
              <w:rPr>
                <w:b/>
                <w:sz w:val="24"/>
              </w:rPr>
              <w:t>Acción de inconstitucionalidad 17/2022</w:t>
            </w:r>
          </w:p>
        </w:tc>
      </w:tr>
    </w:tbl>
    <w:p w14:paraId="2C47FD5D" w14:textId="77777777" w:rsidR="00C2193E" w:rsidRPr="00F715E7" w:rsidRDefault="00C2193E" w:rsidP="001E1EF8">
      <w:pPr>
        <w:pStyle w:val="Estilo1"/>
        <w:widowControl w:val="0"/>
        <w:numPr>
          <w:ilvl w:val="0"/>
          <w:numId w:val="0"/>
        </w:numPr>
        <w:tabs>
          <w:tab w:val="left" w:pos="1701"/>
        </w:tabs>
        <w:autoSpaceDE w:val="0"/>
        <w:autoSpaceDN w:val="0"/>
        <w:spacing w:before="0" w:after="0"/>
        <w:rPr>
          <w:rFonts w:eastAsia="Arial"/>
          <w:bCs/>
          <w:sz w:val="26"/>
          <w:szCs w:val="26"/>
          <w:lang w:bidi="es-MX"/>
        </w:rPr>
      </w:pPr>
    </w:p>
    <w:p w14:paraId="40826B8F" w14:textId="6C335680" w:rsidR="008D0C2C" w:rsidRPr="00F715E7" w:rsidRDefault="00C93BF8" w:rsidP="0098787A">
      <w:pPr>
        <w:pStyle w:val="Textoindependiente"/>
        <w:widowControl w:val="0"/>
        <w:autoSpaceDE w:val="0"/>
        <w:autoSpaceDN w:val="0"/>
        <w:spacing w:after="0" w:line="360" w:lineRule="auto"/>
        <w:jc w:val="both"/>
        <w:rPr>
          <w:rFonts w:ascii="Arial" w:eastAsia="Arial" w:hAnsi="Arial" w:cs="Arial"/>
          <w:sz w:val="26"/>
          <w:szCs w:val="22"/>
          <w:lang w:bidi="es-MX"/>
        </w:rPr>
      </w:pPr>
      <w:r w:rsidRPr="00F715E7">
        <w:rPr>
          <w:rFonts w:ascii="Arial" w:eastAsia="Arial" w:hAnsi="Arial" w:cs="Arial"/>
          <w:sz w:val="26"/>
          <w:szCs w:val="22"/>
          <w:lang w:bidi="es-MX"/>
        </w:rPr>
        <w:t>Coincidentemente, l</w:t>
      </w:r>
      <w:r w:rsidR="008D0C2C" w:rsidRPr="00F715E7">
        <w:rPr>
          <w:rFonts w:ascii="Arial" w:eastAsia="Arial" w:hAnsi="Arial" w:cs="Arial"/>
          <w:sz w:val="26"/>
          <w:szCs w:val="22"/>
          <w:lang w:bidi="es-MX"/>
        </w:rPr>
        <w:t>os partidos políticos referidos promovieron sus demandas en contra de l</w:t>
      </w:r>
      <w:r w:rsidR="008F23BE" w:rsidRPr="00F715E7">
        <w:rPr>
          <w:rFonts w:ascii="Arial" w:eastAsia="Arial" w:hAnsi="Arial" w:cs="Arial"/>
          <w:sz w:val="26"/>
          <w:szCs w:val="22"/>
          <w:lang w:bidi="es-MX"/>
        </w:rPr>
        <w:t>a</w:t>
      </w:r>
      <w:r w:rsidR="008D0C2C" w:rsidRPr="00F715E7">
        <w:rPr>
          <w:rFonts w:ascii="Arial" w:eastAsia="Arial" w:hAnsi="Arial" w:cs="Arial"/>
          <w:sz w:val="26"/>
          <w:szCs w:val="22"/>
          <w:lang w:bidi="es-MX"/>
        </w:rPr>
        <w:t>s siguientes autoridades</w:t>
      </w:r>
      <w:r w:rsidR="00A27E74" w:rsidRPr="00F715E7">
        <w:rPr>
          <w:rFonts w:ascii="Arial" w:eastAsia="Arial" w:hAnsi="Arial" w:cs="Arial"/>
          <w:sz w:val="26"/>
          <w:szCs w:val="22"/>
          <w:lang w:bidi="es-MX"/>
        </w:rPr>
        <w:t xml:space="preserve"> y </w:t>
      </w:r>
      <w:r w:rsidR="009E2A7E" w:rsidRPr="00F715E7">
        <w:rPr>
          <w:rFonts w:ascii="Arial" w:eastAsia="Arial" w:hAnsi="Arial" w:cs="Arial"/>
          <w:sz w:val="26"/>
          <w:szCs w:val="22"/>
          <w:lang w:bidi="es-MX"/>
        </w:rPr>
        <w:t>norma</w:t>
      </w:r>
      <w:r w:rsidR="007E32F5" w:rsidRPr="00F715E7">
        <w:rPr>
          <w:rFonts w:ascii="Arial" w:eastAsia="Arial" w:hAnsi="Arial" w:cs="Arial"/>
          <w:sz w:val="26"/>
          <w:szCs w:val="22"/>
          <w:lang w:bidi="es-MX"/>
        </w:rPr>
        <w:t>:</w:t>
      </w:r>
    </w:p>
    <w:p w14:paraId="0BF2B2A5" w14:textId="77777777" w:rsidR="00A85C0C" w:rsidRPr="00F715E7" w:rsidRDefault="00A85C0C" w:rsidP="001E1EF8">
      <w:pPr>
        <w:pStyle w:val="Textoindependiente"/>
        <w:widowControl w:val="0"/>
        <w:autoSpaceDE w:val="0"/>
        <w:autoSpaceDN w:val="0"/>
        <w:spacing w:after="0" w:line="360" w:lineRule="auto"/>
        <w:jc w:val="both"/>
        <w:rPr>
          <w:rFonts w:ascii="Arial" w:eastAsia="Arial" w:hAnsi="Arial" w:cs="Arial"/>
          <w:bCs/>
          <w:sz w:val="26"/>
          <w:szCs w:val="26"/>
          <w:lang w:bidi="es-MX"/>
        </w:rPr>
      </w:pPr>
    </w:p>
    <w:p w14:paraId="6665242A" w14:textId="198D5781" w:rsidR="00FE46AA" w:rsidRPr="00F715E7" w:rsidRDefault="00FE46AA" w:rsidP="001E1EF8">
      <w:pPr>
        <w:pStyle w:val="Estilo1"/>
        <w:numPr>
          <w:ilvl w:val="0"/>
          <w:numId w:val="0"/>
        </w:numPr>
        <w:tabs>
          <w:tab w:val="left" w:pos="1701"/>
        </w:tabs>
        <w:spacing w:before="0" w:after="0"/>
        <w:rPr>
          <w:sz w:val="26"/>
          <w:szCs w:val="26"/>
        </w:rPr>
      </w:pPr>
      <w:r w:rsidRPr="00F715E7">
        <w:rPr>
          <w:b/>
          <w:sz w:val="26"/>
          <w:szCs w:val="26"/>
        </w:rPr>
        <w:t xml:space="preserve">A. </w:t>
      </w:r>
      <w:bookmarkStart w:id="8" w:name="_Hlk100047870"/>
      <w:r w:rsidR="004058AD" w:rsidRPr="00F715E7">
        <w:rPr>
          <w:b/>
          <w:bCs/>
          <w:sz w:val="26"/>
          <w:szCs w:val="26"/>
        </w:rPr>
        <w:t xml:space="preserve">Los órganos </w:t>
      </w:r>
      <w:r w:rsidR="00331972">
        <w:rPr>
          <w:b/>
          <w:bCs/>
          <w:sz w:val="26"/>
          <w:szCs w:val="26"/>
        </w:rPr>
        <w:t>L</w:t>
      </w:r>
      <w:r w:rsidR="004058AD" w:rsidRPr="00F715E7">
        <w:rPr>
          <w:b/>
          <w:bCs/>
          <w:sz w:val="26"/>
          <w:szCs w:val="26"/>
        </w:rPr>
        <w:t xml:space="preserve">egislativo y </w:t>
      </w:r>
      <w:r w:rsidR="00331972">
        <w:rPr>
          <w:b/>
          <w:bCs/>
          <w:sz w:val="26"/>
          <w:szCs w:val="26"/>
        </w:rPr>
        <w:t>E</w:t>
      </w:r>
      <w:r w:rsidR="004058AD" w:rsidRPr="00F715E7">
        <w:rPr>
          <w:b/>
          <w:bCs/>
          <w:sz w:val="26"/>
          <w:szCs w:val="26"/>
        </w:rPr>
        <w:t>jecutivo que emitieron y promulgaron</w:t>
      </w:r>
      <w:r w:rsidRPr="00F715E7">
        <w:rPr>
          <w:b/>
          <w:bCs/>
          <w:sz w:val="26"/>
          <w:szCs w:val="26"/>
        </w:rPr>
        <w:t xml:space="preserve"> </w:t>
      </w:r>
      <w:r w:rsidR="004058AD" w:rsidRPr="00F715E7">
        <w:rPr>
          <w:b/>
          <w:bCs/>
          <w:sz w:val="26"/>
          <w:szCs w:val="26"/>
        </w:rPr>
        <w:t>la norma general</w:t>
      </w:r>
      <w:r w:rsidR="004058AD" w:rsidRPr="00F715E7">
        <w:rPr>
          <w:b/>
          <w:bCs/>
          <w:spacing w:val="-3"/>
          <w:sz w:val="26"/>
          <w:szCs w:val="26"/>
        </w:rPr>
        <w:t xml:space="preserve"> </w:t>
      </w:r>
      <w:r w:rsidR="004058AD" w:rsidRPr="00F715E7">
        <w:rPr>
          <w:b/>
          <w:bCs/>
          <w:sz w:val="26"/>
          <w:szCs w:val="26"/>
        </w:rPr>
        <w:t>impugnada</w:t>
      </w:r>
      <w:r w:rsidRPr="00F715E7">
        <w:rPr>
          <w:b/>
          <w:bCs/>
          <w:sz w:val="26"/>
          <w:szCs w:val="26"/>
        </w:rPr>
        <w:t>:</w:t>
      </w:r>
      <w:bookmarkEnd w:id="8"/>
    </w:p>
    <w:p w14:paraId="51294995" w14:textId="05606989" w:rsidR="00947F53" w:rsidRPr="00F715E7" w:rsidRDefault="00947F53" w:rsidP="0098787A">
      <w:pPr>
        <w:pStyle w:val="Prrafodelista"/>
        <w:widowControl w:val="0"/>
        <w:tabs>
          <w:tab w:val="left" w:pos="1154"/>
        </w:tabs>
        <w:autoSpaceDE w:val="0"/>
        <w:autoSpaceDN w:val="0"/>
        <w:spacing w:before="0" w:after="0" w:line="360" w:lineRule="auto"/>
        <w:ind w:left="605" w:right="51"/>
        <w:rPr>
          <w:rFonts w:eastAsia="Arial"/>
          <w:sz w:val="26"/>
          <w:szCs w:val="26"/>
          <w:lang w:eastAsia="es-MX" w:bidi="es-MX"/>
        </w:rPr>
      </w:pPr>
      <w:r w:rsidRPr="00F715E7">
        <w:rPr>
          <w:rFonts w:eastAsia="Arial"/>
          <w:sz w:val="26"/>
          <w:szCs w:val="26"/>
          <w:lang w:eastAsia="es-MX" w:bidi="es-MX"/>
        </w:rPr>
        <w:t xml:space="preserve">A.1 </w:t>
      </w:r>
      <w:r w:rsidR="00FE46AA" w:rsidRPr="00F715E7">
        <w:rPr>
          <w:rFonts w:eastAsia="Arial"/>
          <w:sz w:val="26"/>
          <w:szCs w:val="26"/>
          <w:lang w:eastAsia="es-MX" w:bidi="es-MX"/>
        </w:rPr>
        <w:t xml:space="preserve">Órgano Legislativo: </w:t>
      </w:r>
      <w:r w:rsidR="000F215C" w:rsidRPr="00F715E7">
        <w:rPr>
          <w:rFonts w:eastAsia="Arial"/>
          <w:sz w:val="26"/>
          <w:szCs w:val="26"/>
          <w:lang w:eastAsia="es-MX" w:bidi="es-MX"/>
        </w:rPr>
        <w:t xml:space="preserve">Congreso del Estado de </w:t>
      </w:r>
      <w:r w:rsidR="00C93BF8" w:rsidRPr="00F715E7">
        <w:rPr>
          <w:rFonts w:eastAsia="Arial"/>
          <w:sz w:val="26"/>
          <w:szCs w:val="26"/>
          <w:lang w:eastAsia="es-MX" w:bidi="es-MX"/>
        </w:rPr>
        <w:t>Veracruz de Ignacio de la Llave</w:t>
      </w:r>
      <w:r w:rsidR="000F215C" w:rsidRPr="00F715E7">
        <w:rPr>
          <w:rFonts w:eastAsia="Arial"/>
          <w:sz w:val="26"/>
          <w:szCs w:val="26"/>
          <w:lang w:eastAsia="es-MX" w:bidi="es-MX"/>
        </w:rPr>
        <w:t>.</w:t>
      </w:r>
    </w:p>
    <w:p w14:paraId="5983D673" w14:textId="6AFF2060" w:rsidR="009212E7" w:rsidRPr="00F715E7" w:rsidRDefault="00947F53" w:rsidP="0098787A">
      <w:pPr>
        <w:pStyle w:val="Prrafodelista"/>
        <w:widowControl w:val="0"/>
        <w:tabs>
          <w:tab w:val="left" w:pos="1154"/>
        </w:tabs>
        <w:autoSpaceDE w:val="0"/>
        <w:autoSpaceDN w:val="0"/>
        <w:spacing w:before="0" w:after="0" w:line="360" w:lineRule="auto"/>
        <w:ind w:left="605" w:right="51"/>
        <w:rPr>
          <w:sz w:val="26"/>
        </w:rPr>
      </w:pPr>
      <w:r w:rsidRPr="00F715E7">
        <w:rPr>
          <w:rFonts w:eastAsia="Arial"/>
          <w:sz w:val="26"/>
          <w:szCs w:val="26"/>
          <w:lang w:eastAsia="es-MX" w:bidi="es-MX"/>
        </w:rPr>
        <w:t xml:space="preserve">A.2 </w:t>
      </w:r>
      <w:r w:rsidR="00FE46AA" w:rsidRPr="00F715E7">
        <w:rPr>
          <w:rFonts w:eastAsia="Arial"/>
          <w:sz w:val="26"/>
          <w:szCs w:val="26"/>
          <w:lang w:eastAsia="es-MX" w:bidi="es-MX"/>
        </w:rPr>
        <w:t xml:space="preserve">Órgano Ejecutivo: </w:t>
      </w:r>
      <w:r w:rsidR="000F215C" w:rsidRPr="00F715E7">
        <w:rPr>
          <w:sz w:val="26"/>
        </w:rPr>
        <w:t xml:space="preserve">Poder Ejecutivo del Estado de </w:t>
      </w:r>
      <w:r w:rsidR="00C93BF8" w:rsidRPr="00F715E7">
        <w:rPr>
          <w:rFonts w:eastAsia="Arial"/>
          <w:sz w:val="26"/>
          <w:szCs w:val="26"/>
          <w:lang w:eastAsia="es-MX" w:bidi="es-MX"/>
        </w:rPr>
        <w:t>Veracruz de Ignacio de la Llave</w:t>
      </w:r>
      <w:r w:rsidR="000F215C" w:rsidRPr="00F715E7">
        <w:rPr>
          <w:sz w:val="26"/>
        </w:rPr>
        <w:t>.</w:t>
      </w:r>
    </w:p>
    <w:p w14:paraId="6ECE6C20" w14:textId="77777777" w:rsidR="00105465" w:rsidRPr="00F715E7" w:rsidRDefault="00105465" w:rsidP="0098787A">
      <w:pPr>
        <w:pStyle w:val="Prrafodelista"/>
        <w:widowControl w:val="0"/>
        <w:tabs>
          <w:tab w:val="left" w:pos="1154"/>
        </w:tabs>
        <w:autoSpaceDE w:val="0"/>
        <w:autoSpaceDN w:val="0"/>
        <w:spacing w:before="0" w:after="0" w:line="360" w:lineRule="auto"/>
        <w:ind w:left="605" w:right="51"/>
        <w:rPr>
          <w:rFonts w:eastAsia="Arial"/>
          <w:sz w:val="26"/>
          <w:szCs w:val="26"/>
          <w:lang w:eastAsia="es-MX" w:bidi="es-MX"/>
        </w:rPr>
      </w:pPr>
    </w:p>
    <w:p w14:paraId="3D6C7E26" w14:textId="020CB7C9" w:rsidR="00043FA5" w:rsidRPr="00F715E7" w:rsidRDefault="009212E7" w:rsidP="0098787A">
      <w:pPr>
        <w:widowControl w:val="0"/>
        <w:tabs>
          <w:tab w:val="left" w:pos="1154"/>
        </w:tabs>
        <w:autoSpaceDE w:val="0"/>
        <w:autoSpaceDN w:val="0"/>
        <w:spacing w:before="0" w:after="0"/>
        <w:ind w:right="51"/>
        <w:rPr>
          <w:rFonts w:eastAsia="Arial"/>
          <w:sz w:val="26"/>
          <w:szCs w:val="26"/>
          <w:lang w:bidi="es-MX"/>
        </w:rPr>
      </w:pPr>
      <w:bookmarkStart w:id="9" w:name="_Hlk100071096"/>
      <w:r w:rsidRPr="00F715E7">
        <w:rPr>
          <w:b/>
          <w:bCs/>
          <w:sz w:val="26"/>
          <w:szCs w:val="26"/>
        </w:rPr>
        <w:t>B.</w:t>
      </w:r>
      <w:r w:rsidRPr="00F715E7">
        <w:rPr>
          <w:sz w:val="26"/>
          <w:szCs w:val="26"/>
        </w:rPr>
        <w:t xml:space="preserve"> </w:t>
      </w:r>
      <w:r w:rsidRPr="00F715E7">
        <w:rPr>
          <w:b/>
          <w:bCs/>
          <w:sz w:val="26"/>
          <w:szCs w:val="26"/>
        </w:rPr>
        <w:t>L</w:t>
      </w:r>
      <w:r w:rsidR="00E31761" w:rsidRPr="00F715E7">
        <w:rPr>
          <w:b/>
          <w:bCs/>
          <w:sz w:val="26"/>
          <w:szCs w:val="26"/>
        </w:rPr>
        <w:t>a norma general cuya invalidez se reclama y el medio oficial en que se hubiere publicado</w:t>
      </w:r>
      <w:r w:rsidRPr="00F715E7">
        <w:rPr>
          <w:b/>
          <w:bCs/>
          <w:sz w:val="26"/>
          <w:szCs w:val="26"/>
        </w:rPr>
        <w:t>:</w:t>
      </w:r>
      <w:bookmarkEnd w:id="9"/>
      <w:r w:rsidR="00F25A44" w:rsidRPr="00F715E7">
        <w:rPr>
          <w:b/>
          <w:bCs/>
          <w:sz w:val="26"/>
          <w:szCs w:val="26"/>
        </w:rPr>
        <w:t xml:space="preserve"> </w:t>
      </w:r>
      <w:r w:rsidR="00C93BF8" w:rsidRPr="00F715E7">
        <w:rPr>
          <w:rFonts w:eastAsia="Arial"/>
          <w:sz w:val="26"/>
          <w:szCs w:val="26"/>
          <w:lang w:bidi="es-MX"/>
        </w:rPr>
        <w:t>El Decreto número 2</w:t>
      </w:r>
      <w:r w:rsidR="007563DB" w:rsidRPr="00F715E7">
        <w:rPr>
          <w:rFonts w:eastAsia="Arial"/>
          <w:sz w:val="26"/>
          <w:szCs w:val="26"/>
          <w:lang w:bidi="es-MX"/>
        </w:rPr>
        <w:t xml:space="preserve"> que reforma el artículo 50, apartado A, en su fracción I, del Código Electoral para el Estado de Veracruz, </w:t>
      </w:r>
      <w:r w:rsidR="007563DB" w:rsidRPr="00F715E7">
        <w:rPr>
          <w:rFonts w:eastAsia="Arial"/>
          <w:sz w:val="26"/>
          <w:szCs w:val="26"/>
          <w:lang w:bidi="es-MX"/>
        </w:rPr>
        <w:lastRenderedPageBreak/>
        <w:t xml:space="preserve">publicado en </w:t>
      </w:r>
      <w:r w:rsidR="00043FA5" w:rsidRPr="00F715E7">
        <w:rPr>
          <w:rFonts w:eastAsia="Arial"/>
          <w:sz w:val="26"/>
          <w:szCs w:val="26"/>
          <w:lang w:bidi="es-MX"/>
        </w:rPr>
        <w:t>la Gaceta Oficial de la misma entidad, Número Extraordinario 516, Tomo CCIV, el veintiocho de diciembre de dos mil veintiuno</w:t>
      </w:r>
      <w:r w:rsidR="007E32F5" w:rsidRPr="00F715E7">
        <w:rPr>
          <w:rFonts w:eastAsia="Arial"/>
          <w:sz w:val="26"/>
          <w:szCs w:val="26"/>
          <w:lang w:bidi="es-MX"/>
        </w:rPr>
        <w:t>.</w:t>
      </w:r>
    </w:p>
    <w:p w14:paraId="3CF358E3" w14:textId="77777777" w:rsidR="007E32F5" w:rsidRPr="00F715E7" w:rsidRDefault="007E32F5" w:rsidP="0098787A">
      <w:pPr>
        <w:widowControl w:val="0"/>
        <w:tabs>
          <w:tab w:val="left" w:pos="1154"/>
        </w:tabs>
        <w:autoSpaceDE w:val="0"/>
        <w:autoSpaceDN w:val="0"/>
        <w:spacing w:before="0" w:after="0"/>
        <w:ind w:right="51"/>
        <w:rPr>
          <w:rFonts w:eastAsia="Arial"/>
          <w:sz w:val="26"/>
          <w:szCs w:val="26"/>
          <w:lang w:bidi="es-MX"/>
        </w:rPr>
      </w:pPr>
    </w:p>
    <w:p w14:paraId="45FC6D28" w14:textId="619761F5" w:rsidR="00CB45F8" w:rsidRPr="00F715E7" w:rsidRDefault="00CD640A" w:rsidP="0098787A">
      <w:pPr>
        <w:widowControl w:val="0"/>
        <w:tabs>
          <w:tab w:val="left" w:pos="1154"/>
        </w:tabs>
        <w:autoSpaceDE w:val="0"/>
        <w:autoSpaceDN w:val="0"/>
        <w:spacing w:before="0" w:after="0"/>
        <w:ind w:right="51"/>
        <w:rPr>
          <w:sz w:val="26"/>
          <w:szCs w:val="26"/>
          <w:lang w:eastAsia="es-MX"/>
        </w:rPr>
      </w:pPr>
      <w:r w:rsidRPr="00F715E7">
        <w:rPr>
          <w:sz w:val="26"/>
          <w:szCs w:val="26"/>
          <w:lang w:eastAsia="es-MX"/>
        </w:rPr>
        <w:t>S</w:t>
      </w:r>
      <w:r w:rsidR="00CB45F8" w:rsidRPr="00F715E7">
        <w:rPr>
          <w:sz w:val="26"/>
          <w:szCs w:val="26"/>
          <w:lang w:eastAsia="es-MX"/>
        </w:rPr>
        <w:t>ustancialmente, los institutos políticos considera</w:t>
      </w:r>
      <w:r w:rsidR="007E32F5" w:rsidRPr="00F715E7">
        <w:rPr>
          <w:sz w:val="26"/>
          <w:szCs w:val="26"/>
          <w:lang w:eastAsia="es-MX"/>
        </w:rPr>
        <w:t>ron</w:t>
      </w:r>
      <w:r w:rsidR="00CB45F8" w:rsidRPr="00F715E7">
        <w:rPr>
          <w:sz w:val="26"/>
          <w:szCs w:val="26"/>
          <w:lang w:eastAsia="es-MX"/>
        </w:rPr>
        <w:t xml:space="preserve"> que el artículo impugnado transgrede los artículos 1</w:t>
      </w:r>
      <w:r w:rsidR="00DE4130" w:rsidRPr="00F715E7">
        <w:rPr>
          <w:sz w:val="26"/>
          <w:szCs w:val="26"/>
          <w:lang w:eastAsia="es-MX"/>
        </w:rPr>
        <w:t>,</w:t>
      </w:r>
      <w:r w:rsidR="00CB45F8" w:rsidRPr="00F715E7">
        <w:rPr>
          <w:sz w:val="26"/>
          <w:szCs w:val="26"/>
          <w:lang w:eastAsia="es-MX"/>
        </w:rPr>
        <w:t xml:space="preserve"> 14</w:t>
      </w:r>
      <w:r w:rsidR="00DE4130" w:rsidRPr="00F715E7">
        <w:rPr>
          <w:sz w:val="26"/>
          <w:szCs w:val="26"/>
          <w:lang w:eastAsia="es-MX"/>
        </w:rPr>
        <w:t>,</w:t>
      </w:r>
      <w:r w:rsidR="00CB45F8" w:rsidRPr="00F715E7">
        <w:rPr>
          <w:sz w:val="26"/>
          <w:szCs w:val="26"/>
          <w:lang w:eastAsia="es-MX"/>
        </w:rPr>
        <w:t xml:space="preserve"> 16</w:t>
      </w:r>
      <w:r w:rsidR="00DE4130" w:rsidRPr="00F715E7">
        <w:rPr>
          <w:sz w:val="26"/>
          <w:szCs w:val="26"/>
          <w:lang w:eastAsia="es-MX"/>
        </w:rPr>
        <w:t>,</w:t>
      </w:r>
      <w:r w:rsidR="00CB45F8" w:rsidRPr="00F715E7">
        <w:rPr>
          <w:sz w:val="26"/>
          <w:szCs w:val="26"/>
          <w:lang w:eastAsia="es-MX"/>
        </w:rPr>
        <w:t xml:space="preserve"> 17</w:t>
      </w:r>
      <w:r w:rsidR="00DE4130" w:rsidRPr="00F715E7">
        <w:rPr>
          <w:sz w:val="26"/>
          <w:szCs w:val="26"/>
          <w:lang w:eastAsia="es-MX"/>
        </w:rPr>
        <w:t>,</w:t>
      </w:r>
      <w:r w:rsidR="00CB45F8" w:rsidRPr="00F715E7">
        <w:rPr>
          <w:sz w:val="26"/>
          <w:szCs w:val="26"/>
          <w:lang w:eastAsia="es-MX"/>
        </w:rPr>
        <w:t xml:space="preserve"> 25</w:t>
      </w:r>
      <w:r w:rsidR="00DE4130" w:rsidRPr="00F715E7">
        <w:rPr>
          <w:sz w:val="26"/>
          <w:szCs w:val="26"/>
          <w:lang w:eastAsia="es-MX"/>
        </w:rPr>
        <w:t>,</w:t>
      </w:r>
      <w:r w:rsidR="00CB45F8" w:rsidRPr="00F715E7">
        <w:rPr>
          <w:sz w:val="26"/>
          <w:szCs w:val="26"/>
          <w:lang w:eastAsia="es-MX"/>
        </w:rPr>
        <w:t xml:space="preserve"> 39</w:t>
      </w:r>
      <w:r w:rsidR="00DE4130" w:rsidRPr="00F715E7">
        <w:rPr>
          <w:sz w:val="26"/>
          <w:szCs w:val="26"/>
          <w:lang w:eastAsia="es-MX"/>
        </w:rPr>
        <w:t>,</w:t>
      </w:r>
      <w:r w:rsidR="00CB45F8" w:rsidRPr="00F715E7">
        <w:rPr>
          <w:sz w:val="26"/>
          <w:szCs w:val="26"/>
          <w:lang w:eastAsia="es-MX"/>
        </w:rPr>
        <w:t xml:space="preserve"> 40</w:t>
      </w:r>
      <w:r w:rsidR="00DE4130" w:rsidRPr="00F715E7">
        <w:rPr>
          <w:sz w:val="26"/>
          <w:szCs w:val="26"/>
          <w:lang w:eastAsia="es-MX"/>
        </w:rPr>
        <w:t>,</w:t>
      </w:r>
      <w:r w:rsidR="00CB45F8" w:rsidRPr="00F715E7">
        <w:rPr>
          <w:sz w:val="26"/>
          <w:szCs w:val="26"/>
          <w:lang w:eastAsia="es-MX"/>
        </w:rPr>
        <w:t xml:space="preserve"> 41</w:t>
      </w:r>
      <w:r w:rsidR="007E32F5" w:rsidRPr="00F715E7">
        <w:rPr>
          <w:sz w:val="26"/>
          <w:szCs w:val="26"/>
          <w:lang w:eastAsia="es-MX"/>
        </w:rPr>
        <w:t>,</w:t>
      </w:r>
      <w:r w:rsidR="00CB45F8" w:rsidRPr="00F715E7">
        <w:rPr>
          <w:sz w:val="26"/>
          <w:szCs w:val="26"/>
          <w:lang w:eastAsia="es-MX"/>
        </w:rPr>
        <w:t xml:space="preserve"> Base II</w:t>
      </w:r>
      <w:r w:rsidR="00EB5B87" w:rsidRPr="00F715E7">
        <w:rPr>
          <w:sz w:val="26"/>
          <w:szCs w:val="26"/>
          <w:lang w:eastAsia="es-MX"/>
        </w:rPr>
        <w:t>,</w:t>
      </w:r>
      <w:r w:rsidR="00CB45F8" w:rsidRPr="00F715E7">
        <w:rPr>
          <w:sz w:val="26"/>
          <w:szCs w:val="26"/>
          <w:lang w:eastAsia="es-MX"/>
        </w:rPr>
        <w:t xml:space="preserve"> incisos a), b)</w:t>
      </w:r>
      <w:r w:rsidR="00EB5B87" w:rsidRPr="00F715E7">
        <w:rPr>
          <w:sz w:val="26"/>
          <w:szCs w:val="26"/>
          <w:lang w:eastAsia="es-MX"/>
        </w:rPr>
        <w:t xml:space="preserve"> y</w:t>
      </w:r>
      <w:r w:rsidR="00CB45F8" w:rsidRPr="00F715E7">
        <w:rPr>
          <w:sz w:val="26"/>
          <w:szCs w:val="26"/>
          <w:lang w:eastAsia="es-MX"/>
        </w:rPr>
        <w:t xml:space="preserve"> c), fracción V</w:t>
      </w:r>
      <w:r w:rsidR="00EB5B87" w:rsidRPr="00F715E7">
        <w:rPr>
          <w:sz w:val="26"/>
          <w:szCs w:val="26"/>
          <w:lang w:eastAsia="es-MX"/>
        </w:rPr>
        <w:t>,</w:t>
      </w:r>
      <w:r w:rsidR="00CB45F8" w:rsidRPr="00F715E7">
        <w:rPr>
          <w:sz w:val="26"/>
          <w:szCs w:val="26"/>
          <w:lang w:eastAsia="es-MX"/>
        </w:rPr>
        <w:t xml:space="preserve"> apartado A, Base III</w:t>
      </w:r>
      <w:r w:rsidR="00EB5B87" w:rsidRPr="00F715E7">
        <w:rPr>
          <w:sz w:val="26"/>
          <w:szCs w:val="26"/>
          <w:lang w:eastAsia="es-MX"/>
        </w:rPr>
        <w:t>,</w:t>
      </w:r>
      <w:r w:rsidR="00CB45F8" w:rsidRPr="00F715E7">
        <w:rPr>
          <w:sz w:val="26"/>
          <w:szCs w:val="26"/>
          <w:lang w:eastAsia="es-MX"/>
        </w:rPr>
        <w:t xml:space="preserve"> apartado D, Base V</w:t>
      </w:r>
      <w:r w:rsidR="00EB5B87" w:rsidRPr="00F715E7">
        <w:rPr>
          <w:sz w:val="26"/>
          <w:szCs w:val="26"/>
          <w:lang w:eastAsia="es-MX"/>
        </w:rPr>
        <w:t>,</w:t>
      </w:r>
      <w:r w:rsidR="00CB45F8" w:rsidRPr="00F715E7">
        <w:rPr>
          <w:sz w:val="26"/>
          <w:szCs w:val="26"/>
          <w:lang w:eastAsia="es-MX"/>
        </w:rPr>
        <w:t xml:space="preserve"> apartado A</w:t>
      </w:r>
      <w:r w:rsidR="00DE4130" w:rsidRPr="00F715E7">
        <w:rPr>
          <w:sz w:val="26"/>
          <w:szCs w:val="26"/>
          <w:lang w:eastAsia="es-MX"/>
        </w:rPr>
        <w:t>,</w:t>
      </w:r>
      <w:r w:rsidR="00CB45F8" w:rsidRPr="00F715E7">
        <w:rPr>
          <w:sz w:val="26"/>
          <w:szCs w:val="26"/>
          <w:lang w:eastAsia="es-MX"/>
        </w:rPr>
        <w:t xml:space="preserve"> 70</w:t>
      </w:r>
      <w:r w:rsidR="00DE4130" w:rsidRPr="00F715E7">
        <w:rPr>
          <w:sz w:val="26"/>
          <w:szCs w:val="26"/>
          <w:lang w:eastAsia="es-MX"/>
        </w:rPr>
        <w:t>,</w:t>
      </w:r>
      <w:r w:rsidR="00CB45F8" w:rsidRPr="00F715E7">
        <w:rPr>
          <w:sz w:val="26"/>
          <w:szCs w:val="26"/>
          <w:lang w:eastAsia="es-MX"/>
        </w:rPr>
        <w:t xml:space="preserve"> 72</w:t>
      </w:r>
      <w:r w:rsidR="00DE4130" w:rsidRPr="00F715E7">
        <w:rPr>
          <w:sz w:val="26"/>
          <w:szCs w:val="26"/>
          <w:lang w:eastAsia="es-MX"/>
        </w:rPr>
        <w:t xml:space="preserve">, </w:t>
      </w:r>
      <w:r w:rsidR="00CB45F8" w:rsidRPr="00F715E7">
        <w:rPr>
          <w:sz w:val="26"/>
          <w:szCs w:val="26"/>
          <w:lang w:eastAsia="es-MX"/>
        </w:rPr>
        <w:t>105</w:t>
      </w:r>
      <w:r w:rsidR="00DE4130" w:rsidRPr="00F715E7">
        <w:rPr>
          <w:sz w:val="26"/>
          <w:szCs w:val="26"/>
          <w:lang w:eastAsia="es-MX"/>
        </w:rPr>
        <w:t>,</w:t>
      </w:r>
      <w:r w:rsidR="00CB45F8" w:rsidRPr="00F715E7">
        <w:rPr>
          <w:sz w:val="26"/>
          <w:szCs w:val="26"/>
          <w:lang w:eastAsia="es-MX"/>
        </w:rPr>
        <w:t xml:space="preserve"> 116</w:t>
      </w:r>
      <w:r w:rsidR="001765D4" w:rsidRPr="00F715E7">
        <w:rPr>
          <w:sz w:val="26"/>
          <w:szCs w:val="26"/>
          <w:lang w:eastAsia="es-MX"/>
        </w:rPr>
        <w:t>,</w:t>
      </w:r>
      <w:r w:rsidR="00CB45F8" w:rsidRPr="00F715E7">
        <w:rPr>
          <w:sz w:val="26"/>
          <w:szCs w:val="26"/>
          <w:lang w:eastAsia="es-MX"/>
        </w:rPr>
        <w:t xml:space="preserve"> fracciones II y IV</w:t>
      </w:r>
      <w:r w:rsidR="00DE4130" w:rsidRPr="00F715E7">
        <w:rPr>
          <w:sz w:val="26"/>
          <w:szCs w:val="26"/>
          <w:lang w:eastAsia="es-MX"/>
        </w:rPr>
        <w:t>,</w:t>
      </w:r>
      <w:r w:rsidR="00CB45F8" w:rsidRPr="00F715E7">
        <w:rPr>
          <w:sz w:val="26"/>
          <w:szCs w:val="26"/>
          <w:lang w:eastAsia="es-MX"/>
        </w:rPr>
        <w:t xml:space="preserve"> 133</w:t>
      </w:r>
      <w:r w:rsidR="00DE4130" w:rsidRPr="00F715E7">
        <w:rPr>
          <w:sz w:val="26"/>
          <w:szCs w:val="26"/>
          <w:lang w:eastAsia="es-MX"/>
        </w:rPr>
        <w:t xml:space="preserve"> </w:t>
      </w:r>
      <w:r w:rsidR="00CB45F8" w:rsidRPr="00F715E7">
        <w:rPr>
          <w:sz w:val="26"/>
          <w:szCs w:val="26"/>
          <w:lang w:eastAsia="es-MX"/>
        </w:rPr>
        <w:t xml:space="preserve">y 135 de la Constitución Política de los Estados Unidos Mexicanos; </w:t>
      </w:r>
      <w:r w:rsidR="00331972">
        <w:rPr>
          <w:sz w:val="26"/>
          <w:szCs w:val="26"/>
          <w:lang w:eastAsia="es-MX"/>
        </w:rPr>
        <w:t xml:space="preserve">y </w:t>
      </w:r>
      <w:r w:rsidR="00CB45F8" w:rsidRPr="00F715E7">
        <w:rPr>
          <w:sz w:val="26"/>
          <w:szCs w:val="26"/>
          <w:lang w:eastAsia="es-MX"/>
        </w:rPr>
        <w:t>19</w:t>
      </w:r>
      <w:r w:rsidR="001765D4" w:rsidRPr="00F715E7">
        <w:rPr>
          <w:sz w:val="26"/>
          <w:szCs w:val="26"/>
          <w:lang w:eastAsia="es-MX"/>
        </w:rPr>
        <w:t>,</w:t>
      </w:r>
      <w:r w:rsidR="00CB45F8" w:rsidRPr="00F715E7">
        <w:rPr>
          <w:sz w:val="26"/>
          <w:szCs w:val="26"/>
          <w:lang w:eastAsia="es-MX"/>
        </w:rPr>
        <w:t xml:space="preserve"> cuarto párrafo</w:t>
      </w:r>
      <w:r w:rsidR="001765D4" w:rsidRPr="00F715E7">
        <w:rPr>
          <w:sz w:val="26"/>
          <w:szCs w:val="26"/>
          <w:lang w:eastAsia="es-MX"/>
        </w:rPr>
        <w:t>,</w:t>
      </w:r>
      <w:r w:rsidR="00CB45F8" w:rsidRPr="00F715E7">
        <w:rPr>
          <w:sz w:val="26"/>
          <w:szCs w:val="26"/>
          <w:lang w:eastAsia="es-MX"/>
        </w:rPr>
        <w:t xml:space="preserve"> de la Constitución Política del </w:t>
      </w:r>
      <w:r w:rsidR="007E32F5" w:rsidRPr="00F715E7">
        <w:rPr>
          <w:sz w:val="26"/>
          <w:szCs w:val="26"/>
          <w:lang w:eastAsia="es-MX"/>
        </w:rPr>
        <w:t>E</w:t>
      </w:r>
      <w:r w:rsidR="00CB45F8" w:rsidRPr="00F715E7">
        <w:rPr>
          <w:sz w:val="26"/>
          <w:szCs w:val="26"/>
          <w:lang w:eastAsia="es-MX"/>
        </w:rPr>
        <w:t xml:space="preserve">stado de Veracruz de Ignacio de la Llave; </w:t>
      </w:r>
      <w:r w:rsidR="00C30D18" w:rsidRPr="00F715E7">
        <w:rPr>
          <w:sz w:val="26"/>
          <w:szCs w:val="26"/>
          <w:lang w:eastAsia="es-MX"/>
        </w:rPr>
        <w:t xml:space="preserve">además de </w:t>
      </w:r>
      <w:r w:rsidR="00CB45F8" w:rsidRPr="00F715E7">
        <w:rPr>
          <w:sz w:val="26"/>
          <w:szCs w:val="26"/>
          <w:lang w:eastAsia="es-MX"/>
        </w:rPr>
        <w:t xml:space="preserve">los </w:t>
      </w:r>
      <w:r w:rsidR="00C30D18" w:rsidRPr="00F715E7">
        <w:rPr>
          <w:sz w:val="26"/>
          <w:szCs w:val="26"/>
          <w:lang w:eastAsia="es-MX"/>
        </w:rPr>
        <w:t>diverso</w:t>
      </w:r>
      <w:r w:rsidR="00CB45F8" w:rsidRPr="00F715E7">
        <w:rPr>
          <w:sz w:val="26"/>
          <w:szCs w:val="26"/>
          <w:lang w:eastAsia="es-MX"/>
        </w:rPr>
        <w:t>s 23</w:t>
      </w:r>
      <w:r w:rsidR="001765D4" w:rsidRPr="00F715E7">
        <w:rPr>
          <w:sz w:val="26"/>
          <w:szCs w:val="26"/>
          <w:lang w:eastAsia="es-MX"/>
        </w:rPr>
        <w:t>,</w:t>
      </w:r>
      <w:r w:rsidR="00CB45F8" w:rsidRPr="00F715E7">
        <w:rPr>
          <w:sz w:val="26"/>
          <w:szCs w:val="26"/>
          <w:lang w:eastAsia="es-MX"/>
        </w:rPr>
        <w:t xml:space="preserve"> inciso d)</w:t>
      </w:r>
      <w:r w:rsidR="001765D4" w:rsidRPr="00F715E7">
        <w:rPr>
          <w:sz w:val="26"/>
          <w:szCs w:val="26"/>
          <w:lang w:eastAsia="es-MX"/>
        </w:rPr>
        <w:t>,</w:t>
      </w:r>
      <w:r w:rsidR="00CB45F8" w:rsidRPr="00F715E7">
        <w:rPr>
          <w:sz w:val="26"/>
          <w:szCs w:val="26"/>
          <w:lang w:eastAsia="es-MX"/>
        </w:rPr>
        <w:t xml:space="preserve"> y 51, numeral </w:t>
      </w:r>
      <w:r w:rsidR="001765D4" w:rsidRPr="00F715E7">
        <w:rPr>
          <w:sz w:val="26"/>
          <w:szCs w:val="26"/>
          <w:lang w:eastAsia="es-MX"/>
        </w:rPr>
        <w:t xml:space="preserve">1, </w:t>
      </w:r>
      <w:r w:rsidR="00CB45F8" w:rsidRPr="00F715E7">
        <w:rPr>
          <w:sz w:val="26"/>
          <w:szCs w:val="26"/>
          <w:lang w:eastAsia="es-MX"/>
        </w:rPr>
        <w:t>de la Ley General de Partidos Políticos; 21 y 23 de la Declaración Universal de los Derechos Humanos; 1</w:t>
      </w:r>
      <w:r w:rsidR="00DE4130" w:rsidRPr="00F715E7">
        <w:rPr>
          <w:sz w:val="26"/>
          <w:szCs w:val="26"/>
          <w:lang w:eastAsia="es-MX"/>
        </w:rPr>
        <w:t>,</w:t>
      </w:r>
      <w:r w:rsidR="00CB45F8" w:rsidRPr="00F715E7">
        <w:rPr>
          <w:sz w:val="26"/>
          <w:szCs w:val="26"/>
          <w:lang w:eastAsia="es-MX"/>
        </w:rPr>
        <w:t xml:space="preserve"> 2</w:t>
      </w:r>
      <w:r w:rsidR="00DE4130" w:rsidRPr="00F715E7">
        <w:rPr>
          <w:sz w:val="26"/>
          <w:szCs w:val="26"/>
          <w:lang w:eastAsia="es-MX"/>
        </w:rPr>
        <w:t>,</w:t>
      </w:r>
      <w:r w:rsidR="00CB45F8" w:rsidRPr="00F715E7">
        <w:rPr>
          <w:sz w:val="26"/>
          <w:szCs w:val="26"/>
          <w:lang w:eastAsia="es-MX"/>
        </w:rPr>
        <w:t xml:space="preserve"> 21</w:t>
      </w:r>
      <w:r w:rsidR="00DE4130" w:rsidRPr="00F715E7">
        <w:rPr>
          <w:sz w:val="26"/>
          <w:szCs w:val="26"/>
          <w:lang w:eastAsia="es-MX"/>
        </w:rPr>
        <w:t>,</w:t>
      </w:r>
      <w:r w:rsidR="00CB45F8" w:rsidRPr="00F715E7">
        <w:rPr>
          <w:sz w:val="26"/>
          <w:szCs w:val="26"/>
          <w:lang w:eastAsia="es-MX"/>
        </w:rPr>
        <w:t xml:space="preserve"> 23</w:t>
      </w:r>
      <w:r w:rsidR="00DE4130" w:rsidRPr="00F715E7">
        <w:rPr>
          <w:sz w:val="26"/>
          <w:szCs w:val="26"/>
          <w:lang w:eastAsia="es-MX"/>
        </w:rPr>
        <w:t>,</w:t>
      </w:r>
      <w:r w:rsidR="00CB45F8" w:rsidRPr="00F715E7">
        <w:rPr>
          <w:sz w:val="26"/>
          <w:szCs w:val="26"/>
          <w:lang w:eastAsia="es-MX"/>
        </w:rPr>
        <w:t xml:space="preserve"> párrafo 1, inciso a)</w:t>
      </w:r>
      <w:r w:rsidR="00831064" w:rsidRPr="00F715E7">
        <w:rPr>
          <w:sz w:val="26"/>
          <w:szCs w:val="26"/>
          <w:lang w:eastAsia="es-MX"/>
        </w:rPr>
        <w:t>,</w:t>
      </w:r>
      <w:r w:rsidR="00CB45F8" w:rsidRPr="00F715E7">
        <w:rPr>
          <w:sz w:val="26"/>
          <w:szCs w:val="26"/>
          <w:lang w:eastAsia="es-MX"/>
        </w:rPr>
        <w:t xml:space="preserve"> 25 y 26 de la Convención Americana sobre Derechos Humanos y 1</w:t>
      </w:r>
      <w:r w:rsidR="00831064" w:rsidRPr="00F715E7">
        <w:rPr>
          <w:sz w:val="26"/>
          <w:szCs w:val="26"/>
          <w:lang w:eastAsia="es-MX"/>
        </w:rPr>
        <w:t>,</w:t>
      </w:r>
      <w:r w:rsidR="00CB45F8" w:rsidRPr="00F715E7">
        <w:rPr>
          <w:sz w:val="26"/>
          <w:szCs w:val="26"/>
          <w:lang w:eastAsia="es-MX"/>
        </w:rPr>
        <w:t xml:space="preserve"> 2</w:t>
      </w:r>
      <w:r w:rsidR="00831064" w:rsidRPr="00F715E7">
        <w:rPr>
          <w:sz w:val="26"/>
          <w:szCs w:val="26"/>
          <w:lang w:eastAsia="es-MX"/>
        </w:rPr>
        <w:t>,</w:t>
      </w:r>
      <w:r w:rsidR="00CB45F8" w:rsidRPr="00F715E7">
        <w:rPr>
          <w:sz w:val="26"/>
          <w:szCs w:val="26"/>
          <w:lang w:eastAsia="es-MX"/>
        </w:rPr>
        <w:t xml:space="preserve"> 25 y 50 del Pacto Internacional de Derechos Civiles y Políticos.</w:t>
      </w:r>
    </w:p>
    <w:p w14:paraId="451E57CF" w14:textId="77777777" w:rsidR="00A85C0C" w:rsidRPr="00F715E7" w:rsidRDefault="00A85C0C" w:rsidP="0098787A">
      <w:pPr>
        <w:widowControl w:val="0"/>
        <w:tabs>
          <w:tab w:val="left" w:pos="1154"/>
        </w:tabs>
        <w:autoSpaceDE w:val="0"/>
        <w:autoSpaceDN w:val="0"/>
        <w:spacing w:before="0" w:after="0"/>
        <w:ind w:right="51"/>
        <w:rPr>
          <w:rFonts w:eastAsia="Arial"/>
          <w:sz w:val="26"/>
          <w:szCs w:val="26"/>
          <w:lang w:bidi="es-MX"/>
        </w:rPr>
      </w:pPr>
    </w:p>
    <w:p w14:paraId="4AFD577D" w14:textId="650DA83D" w:rsidR="00E92C71" w:rsidRPr="00F715E7" w:rsidRDefault="00575C21" w:rsidP="001E1EF8">
      <w:pPr>
        <w:pStyle w:val="Estilo1"/>
        <w:numPr>
          <w:ilvl w:val="0"/>
          <w:numId w:val="6"/>
        </w:numPr>
        <w:tabs>
          <w:tab w:val="left" w:pos="426"/>
        </w:tabs>
        <w:spacing w:before="0" w:after="0"/>
        <w:ind w:left="0"/>
        <w:rPr>
          <w:sz w:val="26"/>
          <w:szCs w:val="26"/>
        </w:rPr>
      </w:pPr>
      <w:r w:rsidRPr="00F715E7">
        <w:rPr>
          <w:b/>
          <w:sz w:val="26"/>
          <w:szCs w:val="26"/>
        </w:rPr>
        <w:t>Concepto</w:t>
      </w:r>
      <w:r w:rsidR="00684B30" w:rsidRPr="00F715E7">
        <w:rPr>
          <w:b/>
          <w:sz w:val="26"/>
          <w:szCs w:val="26"/>
        </w:rPr>
        <w:t>s</w:t>
      </w:r>
      <w:r w:rsidRPr="00F715E7">
        <w:rPr>
          <w:b/>
          <w:sz w:val="26"/>
          <w:szCs w:val="26"/>
        </w:rPr>
        <w:t xml:space="preserve"> de invalidez. </w:t>
      </w:r>
      <w:r w:rsidR="00DB3B61" w:rsidRPr="00F715E7">
        <w:rPr>
          <w:bCs/>
          <w:sz w:val="26"/>
          <w:szCs w:val="26"/>
        </w:rPr>
        <w:t>Al formular las respectivas demandas, los promoventes hicieron valer los</w:t>
      </w:r>
      <w:r w:rsidR="00744989" w:rsidRPr="00F715E7">
        <w:rPr>
          <w:bCs/>
          <w:sz w:val="26"/>
          <w:szCs w:val="26"/>
        </w:rPr>
        <w:t xml:space="preserve"> siguientes</w:t>
      </w:r>
      <w:r w:rsidR="00DB3B61" w:rsidRPr="00F715E7">
        <w:rPr>
          <w:bCs/>
          <w:sz w:val="26"/>
          <w:szCs w:val="26"/>
        </w:rPr>
        <w:t xml:space="preserve"> conce</w:t>
      </w:r>
      <w:r w:rsidR="00BD013E" w:rsidRPr="00F715E7">
        <w:rPr>
          <w:bCs/>
          <w:sz w:val="26"/>
          <w:szCs w:val="26"/>
        </w:rPr>
        <w:t xml:space="preserve">ptos </w:t>
      </w:r>
      <w:r w:rsidR="00DB3B61" w:rsidRPr="00F715E7">
        <w:rPr>
          <w:bCs/>
          <w:sz w:val="26"/>
          <w:szCs w:val="26"/>
        </w:rPr>
        <w:t>de invalidez:</w:t>
      </w:r>
    </w:p>
    <w:p w14:paraId="57FC065F" w14:textId="77777777" w:rsidR="00102746" w:rsidRPr="00F715E7" w:rsidRDefault="00102746" w:rsidP="00102746">
      <w:pPr>
        <w:pStyle w:val="Estilo1"/>
        <w:numPr>
          <w:ilvl w:val="0"/>
          <w:numId w:val="0"/>
        </w:numPr>
        <w:tabs>
          <w:tab w:val="left" w:pos="426"/>
        </w:tabs>
        <w:spacing w:before="0" w:after="0"/>
        <w:rPr>
          <w:sz w:val="26"/>
          <w:szCs w:val="26"/>
        </w:rPr>
      </w:pPr>
    </w:p>
    <w:p w14:paraId="13CBB922" w14:textId="1C814189" w:rsidR="00F25A44" w:rsidRPr="00F715E7" w:rsidRDefault="00F25A44" w:rsidP="001E1EF8">
      <w:pPr>
        <w:pStyle w:val="Estilo1"/>
        <w:numPr>
          <w:ilvl w:val="0"/>
          <w:numId w:val="7"/>
        </w:numPr>
        <w:spacing w:before="0" w:after="0"/>
        <w:ind w:left="567" w:firstLine="0"/>
        <w:rPr>
          <w:b/>
          <w:sz w:val="22"/>
          <w:szCs w:val="22"/>
        </w:rPr>
      </w:pPr>
      <w:r w:rsidRPr="00F715E7">
        <w:rPr>
          <w:b/>
          <w:sz w:val="22"/>
          <w:szCs w:val="22"/>
        </w:rPr>
        <w:t>Acción de inconstitucionalidad 3/2022 (Partido del Trabajo).</w:t>
      </w:r>
    </w:p>
    <w:p w14:paraId="36744BBE" w14:textId="3FDDD0AE" w:rsidR="003C3BCD" w:rsidRPr="00F715E7" w:rsidRDefault="003C3BCD" w:rsidP="0098787A">
      <w:pPr>
        <w:widowControl w:val="0"/>
        <w:autoSpaceDE w:val="0"/>
        <w:autoSpaceDN w:val="0"/>
        <w:spacing w:before="0" w:after="0" w:line="240" w:lineRule="auto"/>
        <w:ind w:left="567"/>
        <w:rPr>
          <w:rFonts w:eastAsia="Arial"/>
          <w:b/>
          <w:bCs/>
          <w:sz w:val="22"/>
          <w:szCs w:val="22"/>
          <w:lang w:eastAsia="es-MX" w:bidi="es-MX"/>
        </w:rPr>
      </w:pPr>
      <w:r w:rsidRPr="00F715E7">
        <w:rPr>
          <w:rFonts w:eastAsia="Arial"/>
          <w:b/>
          <w:bCs/>
          <w:sz w:val="22"/>
          <w:szCs w:val="22"/>
          <w:lang w:eastAsia="es-MX" w:bidi="es-MX"/>
        </w:rPr>
        <w:t>a. Primer concepto de invalidez</w:t>
      </w:r>
      <w:r w:rsidR="00EB5B87" w:rsidRPr="00F715E7">
        <w:rPr>
          <w:rFonts w:eastAsia="Arial"/>
          <w:b/>
          <w:bCs/>
          <w:sz w:val="22"/>
          <w:szCs w:val="22"/>
          <w:lang w:eastAsia="es-MX" w:bidi="es-MX"/>
        </w:rPr>
        <w:t>.</w:t>
      </w:r>
    </w:p>
    <w:p w14:paraId="268A95C3" w14:textId="77777777"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p>
    <w:p w14:paraId="5170CD1D" w14:textId="3AD201D5" w:rsidR="00450A3B" w:rsidRPr="00F715E7" w:rsidRDefault="00777B38" w:rsidP="0098787A">
      <w:pPr>
        <w:pStyle w:val="Prrafodelista"/>
        <w:widowControl w:val="0"/>
        <w:autoSpaceDE w:val="0"/>
        <w:autoSpaceDN w:val="0"/>
        <w:spacing w:before="0" w:after="0" w:line="240" w:lineRule="auto"/>
        <w:ind w:left="567"/>
        <w:rPr>
          <w:rFonts w:eastAsia="Arial"/>
          <w:sz w:val="22"/>
          <w:szCs w:val="22"/>
          <w:lang w:eastAsia="es-MX" w:bidi="es-MX"/>
        </w:rPr>
      </w:pPr>
      <w:r w:rsidRPr="00F715E7">
        <w:rPr>
          <w:rFonts w:eastAsia="Arial"/>
          <w:sz w:val="22"/>
          <w:szCs w:val="22"/>
          <w:lang w:eastAsia="es-MX" w:bidi="es-MX"/>
        </w:rPr>
        <w:t>El partido político</w:t>
      </w:r>
      <w:r w:rsidR="00864B7D" w:rsidRPr="00F715E7">
        <w:rPr>
          <w:rFonts w:eastAsia="Arial"/>
          <w:sz w:val="22"/>
          <w:szCs w:val="22"/>
          <w:lang w:eastAsia="es-MX" w:bidi="es-MX"/>
        </w:rPr>
        <w:t xml:space="preserve"> indicó</w:t>
      </w:r>
      <w:r w:rsidR="00450A3B" w:rsidRPr="00F715E7">
        <w:rPr>
          <w:rFonts w:eastAsia="Arial"/>
          <w:sz w:val="22"/>
          <w:szCs w:val="22"/>
          <w:lang w:eastAsia="es-MX" w:bidi="es-MX"/>
        </w:rPr>
        <w:t xml:space="preserve"> que dentro de la acción de inconstitucionalidad 241/2020 y sus acumuladas</w:t>
      </w:r>
      <w:r w:rsidR="00864B7D" w:rsidRPr="00F715E7">
        <w:rPr>
          <w:rFonts w:eastAsia="Arial"/>
          <w:sz w:val="22"/>
          <w:szCs w:val="22"/>
          <w:lang w:eastAsia="es-MX" w:bidi="es-MX"/>
        </w:rPr>
        <w:t xml:space="preserve"> se declaró la invalidez del Decreto número 580, por el que se reforman, adicionan y derogan diversas disposiciones del Código 577 Electoral para el Estado de Veracruz de Ignacio de la Llave, publicado en la Gaceta Oficial de la entidad el veintiocho de julio de dos mil veinte. </w:t>
      </w:r>
    </w:p>
    <w:p w14:paraId="6CAE9169" w14:textId="000D4922" w:rsidR="00864B7D" w:rsidRPr="00F715E7" w:rsidRDefault="00864B7D" w:rsidP="0098787A">
      <w:pPr>
        <w:pStyle w:val="Prrafodelista"/>
        <w:widowControl w:val="0"/>
        <w:autoSpaceDE w:val="0"/>
        <w:autoSpaceDN w:val="0"/>
        <w:spacing w:before="0" w:after="0" w:line="240" w:lineRule="auto"/>
        <w:ind w:left="567"/>
        <w:rPr>
          <w:rFonts w:eastAsia="Arial"/>
          <w:sz w:val="22"/>
          <w:szCs w:val="22"/>
          <w:lang w:eastAsia="es-MX" w:bidi="es-MX"/>
        </w:rPr>
      </w:pPr>
    </w:p>
    <w:p w14:paraId="18BB44B1" w14:textId="06D9450D" w:rsidR="00864B7D" w:rsidRPr="00F715E7" w:rsidRDefault="00864B7D" w:rsidP="0098787A">
      <w:pPr>
        <w:pStyle w:val="Prrafodelista"/>
        <w:widowControl w:val="0"/>
        <w:autoSpaceDE w:val="0"/>
        <w:autoSpaceDN w:val="0"/>
        <w:spacing w:before="0" w:after="0" w:line="240" w:lineRule="auto"/>
        <w:ind w:left="567"/>
        <w:rPr>
          <w:rFonts w:eastAsia="Arial"/>
          <w:sz w:val="22"/>
          <w:szCs w:val="22"/>
          <w:lang w:eastAsia="es-MX" w:bidi="es-MX"/>
        </w:rPr>
      </w:pPr>
      <w:r w:rsidRPr="00F715E7">
        <w:rPr>
          <w:rFonts w:eastAsia="Arial"/>
          <w:sz w:val="22"/>
          <w:szCs w:val="22"/>
          <w:lang w:eastAsia="es-MX" w:bidi="es-MX"/>
        </w:rPr>
        <w:t xml:space="preserve">Añadió </w:t>
      </w:r>
      <w:r w:rsidR="001670AB" w:rsidRPr="00F715E7">
        <w:rPr>
          <w:rFonts w:eastAsia="Arial"/>
          <w:sz w:val="22"/>
          <w:szCs w:val="22"/>
          <w:lang w:eastAsia="es-MX" w:bidi="es-MX"/>
        </w:rPr>
        <w:t>que,</w:t>
      </w:r>
      <w:r w:rsidRPr="00F715E7">
        <w:rPr>
          <w:rFonts w:eastAsia="Arial"/>
          <w:sz w:val="22"/>
          <w:szCs w:val="22"/>
          <w:lang w:eastAsia="es-MX" w:bidi="es-MX"/>
        </w:rPr>
        <w:t xml:space="preserve"> en términos de esa sentencia, se dio lugar a la reviviscencia de las normas del Código Electoral previas a la expedición del Decreto 580, por </w:t>
      </w:r>
      <w:r w:rsidR="001670AB" w:rsidRPr="00F715E7">
        <w:rPr>
          <w:rFonts w:eastAsia="Arial"/>
          <w:sz w:val="22"/>
          <w:szCs w:val="22"/>
          <w:lang w:eastAsia="es-MX" w:bidi="es-MX"/>
        </w:rPr>
        <w:t>lo que cualquier norma en materia electoral debería realizarse y emitirse a más tardar dentro del año siguiente a la conclusión del proceso electoral del Estado, cuya jornada comicial se verificaría el primer domingo de junio de dos mil veintiuno.</w:t>
      </w:r>
    </w:p>
    <w:p w14:paraId="583AB267" w14:textId="5EDAF979" w:rsidR="001670AB" w:rsidRPr="00F715E7" w:rsidRDefault="001670AB" w:rsidP="0098787A">
      <w:pPr>
        <w:pStyle w:val="Prrafodelista"/>
        <w:widowControl w:val="0"/>
        <w:autoSpaceDE w:val="0"/>
        <w:autoSpaceDN w:val="0"/>
        <w:spacing w:before="0" w:after="0" w:line="240" w:lineRule="auto"/>
        <w:ind w:left="567"/>
        <w:rPr>
          <w:rFonts w:eastAsia="Arial"/>
          <w:sz w:val="22"/>
          <w:szCs w:val="22"/>
          <w:lang w:eastAsia="es-MX" w:bidi="es-MX"/>
        </w:rPr>
      </w:pPr>
    </w:p>
    <w:p w14:paraId="11A191EB" w14:textId="006DBA5C" w:rsidR="001670AB" w:rsidRPr="00F715E7" w:rsidRDefault="001670AB" w:rsidP="0098787A">
      <w:pPr>
        <w:pStyle w:val="Prrafodelista"/>
        <w:widowControl w:val="0"/>
        <w:autoSpaceDE w:val="0"/>
        <w:autoSpaceDN w:val="0"/>
        <w:spacing w:before="0" w:after="0" w:line="240" w:lineRule="auto"/>
        <w:ind w:left="567"/>
        <w:rPr>
          <w:rFonts w:eastAsia="Arial"/>
          <w:sz w:val="22"/>
          <w:szCs w:val="22"/>
          <w:lang w:eastAsia="es-MX" w:bidi="es-MX"/>
        </w:rPr>
      </w:pPr>
      <w:r w:rsidRPr="00F715E7">
        <w:rPr>
          <w:rFonts w:eastAsia="Arial"/>
          <w:sz w:val="22"/>
          <w:szCs w:val="22"/>
          <w:lang w:eastAsia="es-MX" w:bidi="es-MX"/>
        </w:rPr>
        <w:t xml:space="preserve">En ese sentido, señaló que el Decreto número </w:t>
      </w:r>
      <w:r w:rsidR="006A5FEC" w:rsidRPr="00F715E7">
        <w:rPr>
          <w:rFonts w:eastAsia="Arial"/>
          <w:sz w:val="22"/>
          <w:szCs w:val="22"/>
          <w:lang w:eastAsia="es-MX" w:bidi="es-MX"/>
        </w:rPr>
        <w:t>2</w:t>
      </w:r>
      <w:r w:rsidRPr="00F715E7">
        <w:rPr>
          <w:rFonts w:eastAsia="Arial"/>
          <w:sz w:val="22"/>
          <w:szCs w:val="22"/>
          <w:lang w:eastAsia="es-MX" w:bidi="es-MX"/>
        </w:rPr>
        <w:t xml:space="preserve"> impugnado en la presente acción de inconstitucionalidad se realizó, votó y emitió en contravención a los efectos de la aludida sentencia</w:t>
      </w:r>
      <w:r w:rsidR="00801BC2" w:rsidRPr="00F715E7">
        <w:rPr>
          <w:rFonts w:eastAsia="Arial"/>
          <w:sz w:val="22"/>
          <w:szCs w:val="22"/>
          <w:lang w:eastAsia="es-MX" w:bidi="es-MX"/>
        </w:rPr>
        <w:t>, as</w:t>
      </w:r>
      <w:r w:rsidR="006A5FEC" w:rsidRPr="00F715E7">
        <w:rPr>
          <w:rFonts w:eastAsia="Arial"/>
          <w:sz w:val="22"/>
          <w:szCs w:val="22"/>
          <w:lang w:eastAsia="es-MX" w:bidi="es-MX"/>
        </w:rPr>
        <w:t>í como en contra</w:t>
      </w:r>
      <w:r w:rsidR="00801BC2" w:rsidRPr="00F715E7">
        <w:rPr>
          <w:rFonts w:eastAsia="Arial"/>
          <w:sz w:val="22"/>
          <w:szCs w:val="22"/>
          <w:lang w:eastAsia="es-MX" w:bidi="es-MX"/>
        </w:rPr>
        <w:t xml:space="preserve"> </w:t>
      </w:r>
      <w:r w:rsidR="006A5FEC" w:rsidRPr="00F715E7">
        <w:rPr>
          <w:rFonts w:eastAsia="Arial"/>
          <w:sz w:val="22"/>
          <w:szCs w:val="22"/>
          <w:lang w:eastAsia="es-MX" w:bidi="es-MX"/>
        </w:rPr>
        <w:t>de</w:t>
      </w:r>
      <w:r w:rsidR="00801BC2" w:rsidRPr="00F715E7">
        <w:rPr>
          <w:rFonts w:eastAsia="Arial"/>
          <w:sz w:val="22"/>
          <w:szCs w:val="22"/>
          <w:lang w:eastAsia="es-MX" w:bidi="es-MX"/>
        </w:rPr>
        <w:t xml:space="preserve"> lo dispuesto por el tercer y cuarto párrafos </w:t>
      </w:r>
      <w:r w:rsidR="00801BC2" w:rsidRPr="00F715E7">
        <w:rPr>
          <w:rFonts w:eastAsia="Arial"/>
          <w:sz w:val="22"/>
          <w:szCs w:val="22"/>
          <w:lang w:eastAsia="es-MX" w:bidi="es-MX"/>
        </w:rPr>
        <w:lastRenderedPageBreak/>
        <w:t>de la fracción II, del artículo 105, de la Constitución Federal.</w:t>
      </w:r>
    </w:p>
    <w:p w14:paraId="7181BEB5" w14:textId="77777777"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p>
    <w:p w14:paraId="12F10E50" w14:textId="060EEA23" w:rsidR="003C3BCD" w:rsidRPr="00F715E7" w:rsidRDefault="006A5FEC" w:rsidP="0098787A">
      <w:pPr>
        <w:pStyle w:val="Prrafodelista"/>
        <w:widowControl w:val="0"/>
        <w:autoSpaceDE w:val="0"/>
        <w:autoSpaceDN w:val="0"/>
        <w:spacing w:before="0" w:after="0" w:line="240" w:lineRule="auto"/>
        <w:ind w:left="567"/>
        <w:rPr>
          <w:bCs/>
          <w:sz w:val="22"/>
          <w:szCs w:val="22"/>
        </w:rPr>
      </w:pPr>
      <w:r w:rsidRPr="00F715E7">
        <w:rPr>
          <w:bCs/>
          <w:sz w:val="22"/>
          <w:szCs w:val="22"/>
        </w:rPr>
        <w:t>Ello, pues</w:t>
      </w:r>
      <w:r w:rsidR="00801BC2" w:rsidRPr="00F715E7">
        <w:rPr>
          <w:bCs/>
          <w:sz w:val="22"/>
          <w:szCs w:val="22"/>
        </w:rPr>
        <w:t xml:space="preserve"> al momento de la emisión del Decreto número </w:t>
      </w:r>
      <w:r w:rsidRPr="00F715E7">
        <w:rPr>
          <w:bCs/>
          <w:sz w:val="22"/>
          <w:szCs w:val="22"/>
        </w:rPr>
        <w:t>2</w:t>
      </w:r>
      <w:r w:rsidR="00801BC2" w:rsidRPr="00F715E7">
        <w:rPr>
          <w:bCs/>
          <w:sz w:val="22"/>
          <w:szCs w:val="22"/>
        </w:rPr>
        <w:t xml:space="preserve"> impugnado, el proceso electoral en el Estado de Veracruz no había concluido y no se habían resuelto todos los medios de impugnación al respecto, ni resuelto todos los asuntos relativos a las elecciones municipales</w:t>
      </w:r>
      <w:r w:rsidR="00B90848" w:rsidRPr="00F715E7">
        <w:rPr>
          <w:bCs/>
          <w:sz w:val="22"/>
          <w:szCs w:val="22"/>
        </w:rPr>
        <w:t xml:space="preserve">, </w:t>
      </w:r>
      <w:r w:rsidR="00B90848" w:rsidRPr="00F715E7">
        <w:rPr>
          <w:sz w:val="22"/>
          <w:szCs w:val="22"/>
        </w:rPr>
        <w:t>pues se ha</w:t>
      </w:r>
      <w:r w:rsidR="00CA2A31" w:rsidRPr="00F715E7">
        <w:rPr>
          <w:sz w:val="22"/>
          <w:szCs w:val="22"/>
        </w:rPr>
        <w:t>bían</w:t>
      </w:r>
      <w:r w:rsidR="00B90848" w:rsidRPr="00F715E7">
        <w:rPr>
          <w:sz w:val="22"/>
          <w:szCs w:val="22"/>
        </w:rPr>
        <w:t xml:space="preserve"> emitido Puntos de Acuerdo en los que se nombran Concejos Municipales y convocatorias a elecciones extraordinarias en los Municipios de Jesús Carranza, Amatitlán, </w:t>
      </w:r>
      <w:proofErr w:type="spellStart"/>
      <w:r w:rsidR="00B90848" w:rsidRPr="00F715E7">
        <w:rPr>
          <w:sz w:val="22"/>
          <w:szCs w:val="22"/>
        </w:rPr>
        <w:t>Chiconamel</w:t>
      </w:r>
      <w:proofErr w:type="spellEnd"/>
      <w:r w:rsidR="00B90848" w:rsidRPr="00F715E7">
        <w:rPr>
          <w:sz w:val="22"/>
          <w:szCs w:val="22"/>
        </w:rPr>
        <w:t xml:space="preserve"> y Tlacotepec de Mejía, para el mes de marzo de</w:t>
      </w:r>
      <w:r w:rsidR="00B90848" w:rsidRPr="00F715E7">
        <w:rPr>
          <w:spacing w:val="-15"/>
          <w:sz w:val="22"/>
          <w:szCs w:val="22"/>
        </w:rPr>
        <w:t xml:space="preserve"> </w:t>
      </w:r>
      <w:r w:rsidR="00B90848" w:rsidRPr="00F715E7">
        <w:rPr>
          <w:sz w:val="22"/>
          <w:szCs w:val="22"/>
        </w:rPr>
        <w:t>dos mil veintidós.</w:t>
      </w:r>
    </w:p>
    <w:p w14:paraId="21E9066E" w14:textId="77777777" w:rsidR="00570741" w:rsidRPr="00F715E7" w:rsidRDefault="00570741" w:rsidP="0098787A">
      <w:pPr>
        <w:pStyle w:val="Prrafodelista"/>
        <w:widowControl w:val="0"/>
        <w:autoSpaceDE w:val="0"/>
        <w:autoSpaceDN w:val="0"/>
        <w:spacing w:before="0" w:after="0" w:line="240" w:lineRule="auto"/>
        <w:ind w:left="567"/>
        <w:rPr>
          <w:bCs/>
          <w:sz w:val="22"/>
          <w:szCs w:val="22"/>
        </w:rPr>
      </w:pPr>
    </w:p>
    <w:p w14:paraId="33418CBA" w14:textId="5ACAE4AD" w:rsidR="00570741" w:rsidRPr="00F715E7" w:rsidRDefault="00570741" w:rsidP="0098787A">
      <w:pPr>
        <w:pStyle w:val="Prrafodelista"/>
        <w:widowControl w:val="0"/>
        <w:autoSpaceDE w:val="0"/>
        <w:autoSpaceDN w:val="0"/>
        <w:spacing w:before="0" w:after="0" w:line="240" w:lineRule="auto"/>
        <w:ind w:left="567"/>
        <w:rPr>
          <w:bCs/>
          <w:sz w:val="22"/>
          <w:szCs w:val="22"/>
        </w:rPr>
      </w:pPr>
      <w:r w:rsidRPr="00F715E7">
        <w:rPr>
          <w:bCs/>
          <w:sz w:val="22"/>
          <w:szCs w:val="22"/>
        </w:rPr>
        <w:t>Finalmente</w:t>
      </w:r>
      <w:r w:rsidR="003C3BCD" w:rsidRPr="00F715E7">
        <w:rPr>
          <w:bCs/>
          <w:sz w:val="22"/>
          <w:szCs w:val="22"/>
        </w:rPr>
        <w:t xml:space="preserve">, </w:t>
      </w:r>
      <w:r w:rsidRPr="00F715E7">
        <w:rPr>
          <w:bCs/>
          <w:sz w:val="22"/>
          <w:szCs w:val="22"/>
        </w:rPr>
        <w:t>consideró</w:t>
      </w:r>
      <w:r w:rsidR="003C3BCD" w:rsidRPr="00F715E7">
        <w:rPr>
          <w:bCs/>
          <w:sz w:val="22"/>
          <w:szCs w:val="22"/>
        </w:rPr>
        <w:t xml:space="preserve"> que no </w:t>
      </w:r>
      <w:r w:rsidR="00F316C4" w:rsidRPr="00F715E7">
        <w:rPr>
          <w:bCs/>
          <w:sz w:val="22"/>
          <w:szCs w:val="22"/>
        </w:rPr>
        <w:t>era</w:t>
      </w:r>
      <w:r w:rsidR="003C3BCD" w:rsidRPr="00F715E7">
        <w:rPr>
          <w:bCs/>
          <w:sz w:val="22"/>
          <w:szCs w:val="22"/>
        </w:rPr>
        <w:t xml:space="preserve"> suficiente </w:t>
      </w:r>
      <w:r w:rsidR="006A5FEC" w:rsidRPr="00F715E7">
        <w:rPr>
          <w:bCs/>
          <w:sz w:val="22"/>
          <w:szCs w:val="22"/>
        </w:rPr>
        <w:t>reconocer la</w:t>
      </w:r>
      <w:r w:rsidR="003C3BCD" w:rsidRPr="00F715E7">
        <w:rPr>
          <w:bCs/>
          <w:sz w:val="22"/>
          <w:szCs w:val="22"/>
        </w:rPr>
        <w:t xml:space="preserve"> validez </w:t>
      </w:r>
      <w:r w:rsidR="006A5FEC" w:rsidRPr="00F715E7">
        <w:rPr>
          <w:bCs/>
          <w:sz w:val="22"/>
          <w:szCs w:val="22"/>
        </w:rPr>
        <w:t>de</w:t>
      </w:r>
      <w:r w:rsidR="003C3BCD" w:rsidRPr="00F715E7">
        <w:rPr>
          <w:bCs/>
          <w:sz w:val="22"/>
          <w:szCs w:val="22"/>
        </w:rPr>
        <w:t xml:space="preserve"> la reforma</w:t>
      </w:r>
      <w:r w:rsidR="006A5FEC" w:rsidRPr="00F715E7">
        <w:rPr>
          <w:bCs/>
          <w:sz w:val="22"/>
          <w:szCs w:val="22"/>
        </w:rPr>
        <w:t>, el hecho de</w:t>
      </w:r>
      <w:r w:rsidR="003C3BCD" w:rsidRPr="00F715E7">
        <w:rPr>
          <w:bCs/>
          <w:sz w:val="22"/>
          <w:szCs w:val="22"/>
        </w:rPr>
        <w:t xml:space="preserve"> que</w:t>
      </w:r>
      <w:r w:rsidRPr="00F715E7">
        <w:rPr>
          <w:bCs/>
          <w:sz w:val="22"/>
          <w:szCs w:val="22"/>
        </w:rPr>
        <w:t xml:space="preserve"> en </w:t>
      </w:r>
      <w:r w:rsidR="006A5FEC" w:rsidRPr="00F715E7">
        <w:rPr>
          <w:bCs/>
          <w:sz w:val="22"/>
          <w:szCs w:val="22"/>
        </w:rPr>
        <w:t xml:space="preserve">el </w:t>
      </w:r>
      <w:r w:rsidRPr="00F715E7">
        <w:rPr>
          <w:bCs/>
          <w:sz w:val="22"/>
          <w:szCs w:val="22"/>
        </w:rPr>
        <w:t xml:space="preserve">diverso </w:t>
      </w:r>
      <w:r w:rsidR="003C3BCD" w:rsidRPr="00F715E7">
        <w:rPr>
          <w:bCs/>
          <w:sz w:val="22"/>
          <w:szCs w:val="22"/>
        </w:rPr>
        <w:t xml:space="preserve">artículo </w:t>
      </w:r>
      <w:r w:rsidRPr="00F715E7">
        <w:rPr>
          <w:bCs/>
          <w:sz w:val="22"/>
          <w:szCs w:val="22"/>
        </w:rPr>
        <w:t>t</w:t>
      </w:r>
      <w:r w:rsidR="003C3BCD" w:rsidRPr="00F715E7">
        <w:rPr>
          <w:bCs/>
          <w:sz w:val="22"/>
          <w:szCs w:val="22"/>
        </w:rPr>
        <w:t xml:space="preserve">ransitorio del </w:t>
      </w:r>
      <w:r w:rsidRPr="00F715E7">
        <w:rPr>
          <w:bCs/>
          <w:sz w:val="22"/>
          <w:szCs w:val="22"/>
        </w:rPr>
        <w:t>D</w:t>
      </w:r>
      <w:r w:rsidR="003C3BCD" w:rsidRPr="00F715E7">
        <w:rPr>
          <w:bCs/>
          <w:sz w:val="22"/>
          <w:szCs w:val="22"/>
        </w:rPr>
        <w:t xml:space="preserve">ecreto impugnado </w:t>
      </w:r>
      <w:r w:rsidRPr="00F715E7">
        <w:rPr>
          <w:bCs/>
          <w:sz w:val="22"/>
          <w:szCs w:val="22"/>
        </w:rPr>
        <w:t xml:space="preserve">se </w:t>
      </w:r>
      <w:r w:rsidR="00F316C4" w:rsidRPr="00F715E7">
        <w:rPr>
          <w:bCs/>
          <w:sz w:val="22"/>
          <w:szCs w:val="22"/>
        </w:rPr>
        <w:t>hubiera</w:t>
      </w:r>
      <w:r w:rsidRPr="00F715E7">
        <w:rPr>
          <w:bCs/>
          <w:sz w:val="22"/>
          <w:szCs w:val="22"/>
        </w:rPr>
        <w:t xml:space="preserve"> establecido que el propio Decreto entraría </w:t>
      </w:r>
      <w:r w:rsidR="006A5FEC" w:rsidRPr="00F715E7">
        <w:rPr>
          <w:bCs/>
          <w:sz w:val="22"/>
          <w:szCs w:val="22"/>
        </w:rPr>
        <w:t>parcialmente</w:t>
      </w:r>
      <w:r w:rsidRPr="00F715E7">
        <w:rPr>
          <w:bCs/>
          <w:sz w:val="22"/>
          <w:szCs w:val="22"/>
        </w:rPr>
        <w:t xml:space="preserve"> en vigor el primero de enero de dos mil veintidós, en virtud de que el proceso electoral no había concluido.</w:t>
      </w:r>
    </w:p>
    <w:p w14:paraId="69E6DEDB" w14:textId="77777777" w:rsidR="003C3BCD" w:rsidRPr="00F715E7" w:rsidRDefault="003C3BCD" w:rsidP="0098787A">
      <w:pPr>
        <w:widowControl w:val="0"/>
        <w:autoSpaceDE w:val="0"/>
        <w:autoSpaceDN w:val="0"/>
        <w:spacing w:before="0" w:after="0" w:line="240" w:lineRule="auto"/>
        <w:rPr>
          <w:bCs/>
          <w:sz w:val="22"/>
          <w:szCs w:val="22"/>
        </w:rPr>
      </w:pPr>
    </w:p>
    <w:p w14:paraId="59007789" w14:textId="3B9B76D5" w:rsidR="003C3BCD" w:rsidRPr="00F715E7" w:rsidRDefault="003C3BCD" w:rsidP="0098787A">
      <w:pPr>
        <w:pStyle w:val="Prrafodelista"/>
        <w:widowControl w:val="0"/>
        <w:autoSpaceDE w:val="0"/>
        <w:autoSpaceDN w:val="0"/>
        <w:spacing w:before="0" w:after="0" w:line="240" w:lineRule="auto"/>
        <w:ind w:left="567"/>
        <w:rPr>
          <w:b/>
          <w:sz w:val="22"/>
          <w:szCs w:val="22"/>
        </w:rPr>
      </w:pPr>
      <w:r w:rsidRPr="00F715E7">
        <w:rPr>
          <w:b/>
          <w:sz w:val="22"/>
          <w:szCs w:val="22"/>
        </w:rPr>
        <w:t>b. Segundo concepto de invalidez</w:t>
      </w:r>
      <w:r w:rsidR="00EB5B87" w:rsidRPr="00F715E7">
        <w:rPr>
          <w:b/>
          <w:sz w:val="22"/>
          <w:szCs w:val="22"/>
        </w:rPr>
        <w:t>.</w:t>
      </w:r>
    </w:p>
    <w:p w14:paraId="01F6A5E7"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E474E4E" w14:textId="42D13489" w:rsidR="003C3BCD" w:rsidRPr="00F715E7" w:rsidRDefault="006A5FEC" w:rsidP="0098787A">
      <w:pPr>
        <w:pStyle w:val="Prrafodelista"/>
        <w:widowControl w:val="0"/>
        <w:autoSpaceDE w:val="0"/>
        <w:autoSpaceDN w:val="0"/>
        <w:spacing w:before="0" w:after="0" w:line="240" w:lineRule="auto"/>
        <w:ind w:left="567"/>
        <w:rPr>
          <w:bCs/>
          <w:sz w:val="22"/>
          <w:szCs w:val="22"/>
        </w:rPr>
      </w:pPr>
      <w:r w:rsidRPr="00F715E7">
        <w:rPr>
          <w:bCs/>
          <w:sz w:val="22"/>
          <w:szCs w:val="22"/>
        </w:rPr>
        <w:t>El Partido del Trabajo</w:t>
      </w:r>
      <w:r w:rsidR="003C3BCD" w:rsidRPr="00F715E7">
        <w:rPr>
          <w:bCs/>
          <w:sz w:val="22"/>
          <w:szCs w:val="22"/>
        </w:rPr>
        <w:t xml:space="preserve"> señal</w:t>
      </w:r>
      <w:r w:rsidR="00F316C4" w:rsidRPr="00F715E7">
        <w:rPr>
          <w:bCs/>
          <w:sz w:val="22"/>
          <w:szCs w:val="22"/>
        </w:rPr>
        <w:t>ó</w:t>
      </w:r>
      <w:r w:rsidR="003C3BCD" w:rsidRPr="00F715E7">
        <w:rPr>
          <w:bCs/>
          <w:sz w:val="22"/>
          <w:szCs w:val="22"/>
        </w:rPr>
        <w:t xml:space="preserve"> que la reforma impugnada es contraria a lo dispuesto en el artículo 41</w:t>
      </w:r>
      <w:r w:rsidR="00DC7C30" w:rsidRPr="00F715E7">
        <w:rPr>
          <w:bCs/>
          <w:sz w:val="22"/>
          <w:szCs w:val="22"/>
        </w:rPr>
        <w:t>,</w:t>
      </w:r>
      <w:r w:rsidR="003C3BCD" w:rsidRPr="00F715E7">
        <w:rPr>
          <w:bCs/>
          <w:sz w:val="22"/>
          <w:szCs w:val="22"/>
        </w:rPr>
        <w:t xml:space="preserve"> base II</w:t>
      </w:r>
      <w:r w:rsidR="00DC7C30" w:rsidRPr="00F715E7">
        <w:rPr>
          <w:bCs/>
          <w:sz w:val="22"/>
          <w:szCs w:val="22"/>
        </w:rPr>
        <w:t>,</w:t>
      </w:r>
      <w:r w:rsidR="003C3BCD" w:rsidRPr="00F715E7">
        <w:rPr>
          <w:bCs/>
          <w:sz w:val="22"/>
          <w:szCs w:val="22"/>
        </w:rPr>
        <w:t xml:space="preserve"> de la Constitución Federal dado que sin fundamentar y motivar debidamente modific</w:t>
      </w:r>
      <w:r w:rsidR="00E03139" w:rsidRPr="00F715E7">
        <w:rPr>
          <w:bCs/>
          <w:sz w:val="22"/>
          <w:szCs w:val="22"/>
        </w:rPr>
        <w:t>ó</w:t>
      </w:r>
      <w:r w:rsidR="003C3BCD" w:rsidRPr="00F715E7">
        <w:rPr>
          <w:bCs/>
          <w:sz w:val="22"/>
          <w:szCs w:val="22"/>
        </w:rPr>
        <w:t xml:space="preserve"> la fórmula de distribución de financiamiento público que se debe otorgar a los partidos políticos nacionales como prerrogativa para</w:t>
      </w:r>
      <w:r w:rsidR="00E03139" w:rsidRPr="00F715E7">
        <w:rPr>
          <w:bCs/>
          <w:sz w:val="22"/>
          <w:szCs w:val="22"/>
        </w:rPr>
        <w:t xml:space="preserve">, </w:t>
      </w:r>
      <w:r w:rsidR="003C3BCD" w:rsidRPr="00F715E7">
        <w:rPr>
          <w:bCs/>
          <w:sz w:val="22"/>
          <w:szCs w:val="22"/>
        </w:rPr>
        <w:t>entre otras, promover la participación de</w:t>
      </w:r>
      <w:r w:rsidRPr="00F715E7">
        <w:rPr>
          <w:bCs/>
          <w:sz w:val="22"/>
          <w:szCs w:val="22"/>
        </w:rPr>
        <w:t xml:space="preserve"> </w:t>
      </w:r>
      <w:r w:rsidR="003C3BCD" w:rsidRPr="00F715E7">
        <w:rPr>
          <w:bCs/>
          <w:sz w:val="22"/>
          <w:szCs w:val="22"/>
        </w:rPr>
        <w:t>l</w:t>
      </w:r>
      <w:r w:rsidRPr="00F715E7">
        <w:rPr>
          <w:bCs/>
          <w:sz w:val="22"/>
          <w:szCs w:val="22"/>
        </w:rPr>
        <w:t>a</w:t>
      </w:r>
      <w:r w:rsidR="003C3BCD" w:rsidRPr="00F715E7">
        <w:rPr>
          <w:bCs/>
          <w:sz w:val="22"/>
          <w:szCs w:val="22"/>
        </w:rPr>
        <w:t xml:space="preserve"> </w:t>
      </w:r>
      <w:r w:rsidRPr="00F715E7">
        <w:rPr>
          <w:bCs/>
          <w:sz w:val="22"/>
          <w:szCs w:val="22"/>
        </w:rPr>
        <w:t xml:space="preserve">ciudadanía </w:t>
      </w:r>
      <w:r w:rsidR="003C3BCD" w:rsidRPr="00F715E7">
        <w:rPr>
          <w:bCs/>
          <w:sz w:val="22"/>
          <w:szCs w:val="22"/>
        </w:rPr>
        <w:t>en la vida democrática, fomentar el principio de paridad de género y contribuir a la integración de los órganos de representación política.</w:t>
      </w:r>
    </w:p>
    <w:p w14:paraId="4093F9CE"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07E31ACC" w14:textId="1456E8DC"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En ese sentido, con base en lo dispuesto por el artículo 51 de la Ley General de Partidos Políticos, el Partido del Trabajo señal</w:t>
      </w:r>
      <w:r w:rsidR="00E03139" w:rsidRPr="00F715E7">
        <w:rPr>
          <w:bCs/>
          <w:sz w:val="22"/>
          <w:szCs w:val="22"/>
        </w:rPr>
        <w:t>ó</w:t>
      </w:r>
      <w:r w:rsidRPr="00F715E7">
        <w:rPr>
          <w:bCs/>
          <w:sz w:val="22"/>
          <w:szCs w:val="22"/>
        </w:rPr>
        <w:t xml:space="preserve"> que dicha ley no hace distinción en la fórmula de distribución de financiamiento público ordinario entre los partidos políticos nacionales o locales, dado que claramente establece que se multiplicará el número total de ciudadanos inscritos en el padrón electoral federal o local, a la fecha de corte de julio de cada año por el sesenta y cinco por ciento de la Unidad de Media y Actualización.</w:t>
      </w:r>
    </w:p>
    <w:p w14:paraId="2E87B81C"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7AEE643" w14:textId="5D261DDB"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Tomando en consideración lo anterior, afirm</w:t>
      </w:r>
      <w:r w:rsidR="00E03139" w:rsidRPr="00F715E7">
        <w:rPr>
          <w:bCs/>
          <w:sz w:val="22"/>
          <w:szCs w:val="22"/>
        </w:rPr>
        <w:t>ó</w:t>
      </w:r>
      <w:r w:rsidRPr="00F715E7">
        <w:rPr>
          <w:bCs/>
          <w:sz w:val="22"/>
          <w:szCs w:val="22"/>
        </w:rPr>
        <w:t xml:space="preserve"> que el Congreso </w:t>
      </w:r>
      <w:r w:rsidR="00DC7C30" w:rsidRPr="00F715E7">
        <w:rPr>
          <w:bCs/>
          <w:sz w:val="22"/>
          <w:szCs w:val="22"/>
        </w:rPr>
        <w:t>del</w:t>
      </w:r>
      <w:r w:rsidRPr="00F715E7">
        <w:rPr>
          <w:bCs/>
          <w:sz w:val="22"/>
          <w:szCs w:val="22"/>
        </w:rPr>
        <w:t xml:space="preserve"> Estado parte de la premisa falsa de que las facultades de decisión que tiene para modificar las leyes electorales son absolutas lo cual es erróneo dado qu</w:t>
      </w:r>
      <w:r w:rsidR="00B90848" w:rsidRPr="00F715E7">
        <w:rPr>
          <w:bCs/>
          <w:sz w:val="22"/>
          <w:szCs w:val="22"/>
        </w:rPr>
        <w:t>e</w:t>
      </w:r>
      <w:r w:rsidRPr="00F715E7">
        <w:rPr>
          <w:bCs/>
          <w:sz w:val="22"/>
          <w:szCs w:val="22"/>
        </w:rPr>
        <w:t xml:space="preserve"> tanto la Constitución Federal como la Ley General de Partidos Políticos no hacen una diferencia entre partidos políticos nacionales o locales para aplicar un porcentaje diferente al sesenta y cinco por ciento, por tanto, la disminución de dicho porcentaje le causa daños y perjuicios irreparables.</w:t>
      </w:r>
    </w:p>
    <w:p w14:paraId="48DEA753" w14:textId="77777777" w:rsidR="00B90848" w:rsidRPr="00F715E7" w:rsidRDefault="00B90848" w:rsidP="0098787A">
      <w:pPr>
        <w:pStyle w:val="Prrafodelista"/>
        <w:widowControl w:val="0"/>
        <w:autoSpaceDE w:val="0"/>
        <w:autoSpaceDN w:val="0"/>
        <w:spacing w:before="0" w:after="0" w:line="240" w:lineRule="auto"/>
        <w:ind w:left="567"/>
        <w:rPr>
          <w:rFonts w:eastAsia="Arial"/>
          <w:sz w:val="22"/>
          <w:szCs w:val="22"/>
          <w:lang w:eastAsia="es-MX" w:bidi="es-MX"/>
        </w:rPr>
      </w:pPr>
    </w:p>
    <w:p w14:paraId="7BC454E1" w14:textId="490CD283" w:rsidR="003C3BCD" w:rsidRPr="00F715E7" w:rsidRDefault="00C24B0F" w:rsidP="001E1EF8">
      <w:pPr>
        <w:pStyle w:val="Estilo1"/>
        <w:numPr>
          <w:ilvl w:val="0"/>
          <w:numId w:val="0"/>
        </w:numPr>
        <w:spacing w:before="0" w:after="0"/>
        <w:ind w:left="567"/>
        <w:rPr>
          <w:b/>
          <w:sz w:val="22"/>
          <w:szCs w:val="22"/>
        </w:rPr>
      </w:pPr>
      <w:r w:rsidRPr="00F715E7">
        <w:rPr>
          <w:b/>
          <w:sz w:val="22"/>
          <w:szCs w:val="22"/>
        </w:rPr>
        <w:t>II</w:t>
      </w:r>
      <w:r w:rsidR="003C3BCD" w:rsidRPr="00F715E7">
        <w:rPr>
          <w:b/>
          <w:sz w:val="22"/>
          <w:szCs w:val="22"/>
        </w:rPr>
        <w:t>. Acción de inconstitucionalidad 8/2022 (Partido Verde Ecologista de México)</w:t>
      </w:r>
      <w:r w:rsidR="00C36DEB" w:rsidRPr="00F715E7">
        <w:rPr>
          <w:b/>
          <w:sz w:val="22"/>
          <w:szCs w:val="22"/>
        </w:rPr>
        <w:t>.</w:t>
      </w:r>
    </w:p>
    <w:p w14:paraId="35F932F3" w14:textId="77777777" w:rsidR="003C3BCD" w:rsidRPr="00F715E7" w:rsidRDefault="003C3BCD" w:rsidP="0098787A">
      <w:pPr>
        <w:pStyle w:val="Prrafodelista"/>
        <w:widowControl w:val="0"/>
        <w:autoSpaceDE w:val="0"/>
        <w:autoSpaceDN w:val="0"/>
        <w:spacing w:before="0" w:after="0" w:line="240" w:lineRule="auto"/>
        <w:ind w:left="567"/>
        <w:rPr>
          <w:b/>
          <w:sz w:val="22"/>
          <w:szCs w:val="22"/>
        </w:rPr>
      </w:pPr>
      <w:r w:rsidRPr="00F715E7">
        <w:rPr>
          <w:b/>
          <w:sz w:val="22"/>
          <w:szCs w:val="22"/>
        </w:rPr>
        <w:t>a. Primer concepto de invalidez.</w:t>
      </w:r>
    </w:p>
    <w:p w14:paraId="34246DD1"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7495C716" w14:textId="47C28DB6" w:rsidR="003C3BCD" w:rsidRPr="00F715E7" w:rsidRDefault="00B90848" w:rsidP="0098787A">
      <w:pPr>
        <w:pStyle w:val="Prrafodelista"/>
        <w:widowControl w:val="0"/>
        <w:autoSpaceDE w:val="0"/>
        <w:autoSpaceDN w:val="0"/>
        <w:spacing w:before="0" w:after="0" w:line="240" w:lineRule="auto"/>
        <w:ind w:left="567"/>
        <w:rPr>
          <w:bCs/>
          <w:sz w:val="22"/>
          <w:szCs w:val="22"/>
        </w:rPr>
      </w:pPr>
      <w:r w:rsidRPr="00F715E7">
        <w:rPr>
          <w:bCs/>
          <w:sz w:val="22"/>
          <w:szCs w:val="22"/>
        </w:rPr>
        <w:t>El partido político señaló</w:t>
      </w:r>
      <w:r w:rsidR="003C3BCD" w:rsidRPr="00F715E7">
        <w:rPr>
          <w:bCs/>
          <w:sz w:val="22"/>
          <w:szCs w:val="22"/>
        </w:rPr>
        <w:t xml:space="preserve"> que el Congreso local transgrede la Constitución Federal y desacata la sentencia emitida por la Suprema Corte</w:t>
      </w:r>
      <w:r w:rsidR="00422638">
        <w:rPr>
          <w:bCs/>
          <w:sz w:val="22"/>
          <w:szCs w:val="22"/>
        </w:rPr>
        <w:t xml:space="preserve"> de Justicia de la Nación</w:t>
      </w:r>
      <w:r w:rsidR="003C3BCD" w:rsidRPr="00F715E7">
        <w:rPr>
          <w:bCs/>
          <w:sz w:val="22"/>
          <w:szCs w:val="22"/>
        </w:rPr>
        <w:t xml:space="preserve"> en la acción de inconstitucionalidad 241/2020 y sus acumuladas</w:t>
      </w:r>
      <w:r w:rsidR="00ED320B" w:rsidRPr="00F715E7">
        <w:rPr>
          <w:bCs/>
          <w:sz w:val="22"/>
          <w:szCs w:val="22"/>
        </w:rPr>
        <w:t>,</w:t>
      </w:r>
      <w:r w:rsidR="003C3BCD" w:rsidRPr="00F715E7">
        <w:rPr>
          <w:bCs/>
          <w:sz w:val="22"/>
          <w:szCs w:val="22"/>
        </w:rPr>
        <w:t xml:space="preserve"> en la que se determinó la reviviscencia de la norma local electoral previa a la expedición del Decreto 580 y se ordenó que no se podía modificar la legislación electoral local durante el proceso electoral.</w:t>
      </w:r>
    </w:p>
    <w:p w14:paraId="310380DE"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E739173" w14:textId="6F241AE1"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bCs/>
          <w:sz w:val="22"/>
          <w:szCs w:val="22"/>
        </w:rPr>
        <w:lastRenderedPageBreak/>
        <w:t xml:space="preserve">Ello porque </w:t>
      </w:r>
      <w:r w:rsidRPr="00F715E7">
        <w:rPr>
          <w:sz w:val="22"/>
          <w:szCs w:val="22"/>
        </w:rPr>
        <w:t>el proceso electoral en el Estado de Veracruz</w:t>
      </w:r>
      <w:r w:rsidRPr="00F715E7">
        <w:rPr>
          <w:spacing w:val="-20"/>
          <w:sz w:val="22"/>
          <w:szCs w:val="22"/>
        </w:rPr>
        <w:t xml:space="preserve"> </w:t>
      </w:r>
      <w:r w:rsidRPr="00F715E7">
        <w:rPr>
          <w:sz w:val="22"/>
          <w:szCs w:val="22"/>
        </w:rPr>
        <w:t>aún</w:t>
      </w:r>
      <w:r w:rsidRPr="00F715E7">
        <w:rPr>
          <w:spacing w:val="-19"/>
          <w:sz w:val="22"/>
          <w:szCs w:val="22"/>
        </w:rPr>
        <w:t xml:space="preserve"> </w:t>
      </w:r>
      <w:r w:rsidRPr="00F715E7">
        <w:rPr>
          <w:sz w:val="22"/>
          <w:szCs w:val="22"/>
        </w:rPr>
        <w:t>no</w:t>
      </w:r>
      <w:r w:rsidRPr="00F715E7">
        <w:rPr>
          <w:spacing w:val="-17"/>
          <w:sz w:val="22"/>
          <w:szCs w:val="22"/>
        </w:rPr>
        <w:t xml:space="preserve"> </w:t>
      </w:r>
      <w:r w:rsidR="00DC7C30" w:rsidRPr="00F715E7">
        <w:rPr>
          <w:sz w:val="22"/>
          <w:szCs w:val="22"/>
        </w:rPr>
        <w:t>había concluido</w:t>
      </w:r>
      <w:r w:rsidRPr="00F715E7">
        <w:rPr>
          <w:sz w:val="22"/>
          <w:szCs w:val="22"/>
        </w:rPr>
        <w:t>,</w:t>
      </w:r>
      <w:r w:rsidRPr="00F715E7">
        <w:rPr>
          <w:spacing w:val="-20"/>
          <w:sz w:val="22"/>
          <w:szCs w:val="22"/>
        </w:rPr>
        <w:t xml:space="preserve"> </w:t>
      </w:r>
      <w:r w:rsidRPr="00F715E7">
        <w:rPr>
          <w:sz w:val="22"/>
          <w:szCs w:val="22"/>
        </w:rPr>
        <w:t>ya</w:t>
      </w:r>
      <w:r w:rsidRPr="00F715E7">
        <w:rPr>
          <w:spacing w:val="-21"/>
          <w:sz w:val="22"/>
          <w:szCs w:val="22"/>
        </w:rPr>
        <w:t xml:space="preserve"> </w:t>
      </w:r>
      <w:r w:rsidRPr="00F715E7">
        <w:rPr>
          <w:sz w:val="22"/>
          <w:szCs w:val="22"/>
        </w:rPr>
        <w:t>que</w:t>
      </w:r>
      <w:r w:rsidRPr="00F715E7">
        <w:rPr>
          <w:spacing w:val="-19"/>
          <w:sz w:val="22"/>
          <w:szCs w:val="22"/>
        </w:rPr>
        <w:t xml:space="preserve"> </w:t>
      </w:r>
      <w:r w:rsidRPr="00F715E7">
        <w:rPr>
          <w:sz w:val="22"/>
          <w:szCs w:val="22"/>
        </w:rPr>
        <w:t>exist</w:t>
      </w:r>
      <w:r w:rsidR="00DC7C30" w:rsidRPr="00F715E7">
        <w:rPr>
          <w:sz w:val="22"/>
          <w:szCs w:val="22"/>
        </w:rPr>
        <w:t>ían</w:t>
      </w:r>
      <w:r w:rsidRPr="00F715E7">
        <w:rPr>
          <w:spacing w:val="-19"/>
          <w:sz w:val="22"/>
          <w:szCs w:val="22"/>
        </w:rPr>
        <w:t xml:space="preserve"> </w:t>
      </w:r>
      <w:r w:rsidRPr="00F715E7">
        <w:rPr>
          <w:sz w:val="22"/>
          <w:szCs w:val="22"/>
        </w:rPr>
        <w:t xml:space="preserve">impugnaciones sin sentencia y no se han resuelto todos los asuntos relativos a las elecciones municipales, </w:t>
      </w:r>
      <w:r w:rsidR="00C24B0F" w:rsidRPr="00F715E7">
        <w:rPr>
          <w:sz w:val="22"/>
          <w:szCs w:val="22"/>
        </w:rPr>
        <w:t>pues</w:t>
      </w:r>
      <w:r w:rsidRPr="00F715E7">
        <w:rPr>
          <w:sz w:val="22"/>
          <w:szCs w:val="22"/>
        </w:rPr>
        <w:t xml:space="preserve"> se ha</w:t>
      </w:r>
      <w:r w:rsidR="00023FC4" w:rsidRPr="00F715E7">
        <w:rPr>
          <w:sz w:val="22"/>
          <w:szCs w:val="22"/>
        </w:rPr>
        <w:t>bían</w:t>
      </w:r>
      <w:r w:rsidRPr="00F715E7">
        <w:rPr>
          <w:sz w:val="22"/>
          <w:szCs w:val="22"/>
        </w:rPr>
        <w:t xml:space="preserve"> emitido Puntos de Acuerdo en los que se nombran Concejos Municipales y convocatorias a elecciones extraordinarias en los Municipios de Jesús Carranza, Amatitlán, </w:t>
      </w:r>
      <w:proofErr w:type="spellStart"/>
      <w:r w:rsidRPr="00F715E7">
        <w:rPr>
          <w:sz w:val="22"/>
          <w:szCs w:val="22"/>
        </w:rPr>
        <w:t>Chiconamel</w:t>
      </w:r>
      <w:proofErr w:type="spellEnd"/>
      <w:r w:rsidRPr="00F715E7">
        <w:rPr>
          <w:sz w:val="22"/>
          <w:szCs w:val="22"/>
        </w:rPr>
        <w:t xml:space="preserve"> y Tlacotepec de Mejía, para el mes de marzo de</w:t>
      </w:r>
      <w:r w:rsidRPr="00F715E7">
        <w:rPr>
          <w:spacing w:val="-15"/>
          <w:sz w:val="22"/>
          <w:szCs w:val="22"/>
        </w:rPr>
        <w:t xml:space="preserve"> </w:t>
      </w:r>
      <w:r w:rsidRPr="00F715E7">
        <w:rPr>
          <w:sz w:val="22"/>
          <w:szCs w:val="22"/>
        </w:rPr>
        <w:t>dos mil veintidós.</w:t>
      </w:r>
    </w:p>
    <w:p w14:paraId="629FC995"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27054D0B" w14:textId="4E3AF908"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Por otro lado, consider</w:t>
      </w:r>
      <w:r w:rsidR="00B90848" w:rsidRPr="00F715E7">
        <w:rPr>
          <w:bCs/>
          <w:sz w:val="22"/>
          <w:szCs w:val="22"/>
        </w:rPr>
        <w:t>ó</w:t>
      </w:r>
      <w:r w:rsidRPr="00F715E7">
        <w:rPr>
          <w:bCs/>
          <w:sz w:val="22"/>
          <w:szCs w:val="22"/>
        </w:rPr>
        <w:t xml:space="preserve"> que no es suficiente para dar validez a la reforma que en el artículo </w:t>
      </w:r>
      <w:r w:rsidR="00611924" w:rsidRPr="00F715E7">
        <w:rPr>
          <w:bCs/>
          <w:sz w:val="22"/>
          <w:szCs w:val="22"/>
        </w:rPr>
        <w:t>t</w:t>
      </w:r>
      <w:r w:rsidRPr="00F715E7">
        <w:rPr>
          <w:bCs/>
          <w:sz w:val="22"/>
          <w:szCs w:val="22"/>
        </w:rPr>
        <w:t xml:space="preserve">ransitorio Segundo del decreto impugnado se establezca que las disposiciones entrarán en vigor el día primero </w:t>
      </w:r>
      <w:r w:rsidR="00023FC4" w:rsidRPr="00F715E7">
        <w:rPr>
          <w:bCs/>
          <w:sz w:val="22"/>
          <w:szCs w:val="22"/>
        </w:rPr>
        <w:t xml:space="preserve">de enero </w:t>
      </w:r>
      <w:r w:rsidRPr="00F715E7">
        <w:rPr>
          <w:bCs/>
          <w:sz w:val="22"/>
          <w:szCs w:val="22"/>
        </w:rPr>
        <w:t>del año dos mil veintidós</w:t>
      </w:r>
      <w:r w:rsidR="0080491E" w:rsidRPr="00F715E7">
        <w:rPr>
          <w:bCs/>
          <w:sz w:val="22"/>
          <w:szCs w:val="22"/>
        </w:rPr>
        <w:t>,</w:t>
      </w:r>
      <w:r w:rsidRPr="00F715E7">
        <w:rPr>
          <w:bCs/>
          <w:sz w:val="22"/>
          <w:szCs w:val="22"/>
        </w:rPr>
        <w:t xml:space="preserve"> porque el proceso electoral local no ha</w:t>
      </w:r>
      <w:r w:rsidR="0080491E" w:rsidRPr="00F715E7">
        <w:rPr>
          <w:bCs/>
          <w:sz w:val="22"/>
          <w:szCs w:val="22"/>
        </w:rPr>
        <w:t>bía</w:t>
      </w:r>
      <w:r w:rsidRPr="00F715E7">
        <w:rPr>
          <w:bCs/>
          <w:sz w:val="22"/>
          <w:szCs w:val="22"/>
        </w:rPr>
        <w:t xml:space="preserve"> terminado.</w:t>
      </w:r>
    </w:p>
    <w:p w14:paraId="116978C3"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64A9B8C" w14:textId="3B35973A"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En ese sentido, </w:t>
      </w:r>
      <w:r w:rsidR="0080491E" w:rsidRPr="00F715E7">
        <w:rPr>
          <w:sz w:val="22"/>
          <w:szCs w:val="22"/>
        </w:rPr>
        <w:t>estimó</w:t>
      </w:r>
      <w:r w:rsidRPr="00F715E7">
        <w:rPr>
          <w:sz w:val="22"/>
          <w:szCs w:val="22"/>
        </w:rPr>
        <w:t xml:space="preserve"> que en contravención a lo dispuesto en el tercer y cuarto párrafo de la fracción II del artículo 105, de la Constitución Federal (relacionado con la veda electoral), no se</w:t>
      </w:r>
      <w:r w:rsidR="0080491E" w:rsidRPr="00F715E7">
        <w:rPr>
          <w:sz w:val="22"/>
          <w:szCs w:val="22"/>
        </w:rPr>
        <w:t xml:space="preserve"> respeta </w:t>
      </w:r>
      <w:r w:rsidRPr="00F715E7">
        <w:rPr>
          <w:sz w:val="22"/>
          <w:szCs w:val="22"/>
        </w:rPr>
        <w:t>el alcance de los efectos de la sentencia emitida dentro de la acción de inconstitucionalidad 241/2020 y sus acumuladas respecto del Código Electoral local, la reviviscencia de la norma local electoral previa a la expedición del Decreto 580 y la orden de no poder modificar la legislación electoral local durante el proceso electoral</w:t>
      </w:r>
      <w:r w:rsidR="0080491E" w:rsidRPr="00F715E7">
        <w:rPr>
          <w:sz w:val="22"/>
          <w:szCs w:val="22"/>
        </w:rPr>
        <w:t>.</w:t>
      </w:r>
    </w:p>
    <w:p w14:paraId="473E0102"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30B97794" w14:textId="36390BC3" w:rsidR="003C3BCD" w:rsidRPr="00F715E7" w:rsidRDefault="003C3BCD" w:rsidP="0098787A">
      <w:pPr>
        <w:pStyle w:val="Prrafodelista"/>
        <w:widowControl w:val="0"/>
        <w:autoSpaceDE w:val="0"/>
        <w:autoSpaceDN w:val="0"/>
        <w:spacing w:before="0" w:after="0" w:line="240" w:lineRule="auto"/>
        <w:ind w:left="567"/>
        <w:rPr>
          <w:b/>
          <w:bCs/>
          <w:sz w:val="22"/>
          <w:szCs w:val="22"/>
        </w:rPr>
      </w:pPr>
      <w:r w:rsidRPr="00F715E7">
        <w:rPr>
          <w:b/>
          <w:bCs/>
          <w:sz w:val="22"/>
          <w:szCs w:val="22"/>
        </w:rPr>
        <w:t>b. Segundo concepto de invalidez</w:t>
      </w:r>
      <w:r w:rsidR="00C36DEB" w:rsidRPr="00F715E7">
        <w:rPr>
          <w:b/>
          <w:bCs/>
          <w:sz w:val="22"/>
          <w:szCs w:val="22"/>
        </w:rPr>
        <w:t>.</w:t>
      </w:r>
    </w:p>
    <w:p w14:paraId="562D380A"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1FCBB838" w14:textId="59839F08"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 Partido Político Verde Ecologista de México estim</w:t>
      </w:r>
      <w:r w:rsidR="0080491E" w:rsidRPr="00F715E7">
        <w:rPr>
          <w:sz w:val="22"/>
          <w:szCs w:val="22"/>
        </w:rPr>
        <w:t>ó</w:t>
      </w:r>
      <w:r w:rsidRPr="00F715E7">
        <w:rPr>
          <w:sz w:val="22"/>
          <w:szCs w:val="22"/>
        </w:rPr>
        <w:t xml:space="preserve"> que la disposición impugnada es contraria a la Constitución Federal por disminuir las prerrogativas y financiamiento público otorgado a los partidos políticos. </w:t>
      </w:r>
    </w:p>
    <w:p w14:paraId="6566F4FD"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39D1740A" w14:textId="1B39A2E3"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En esa línea, </w:t>
      </w:r>
      <w:r w:rsidR="0080491E" w:rsidRPr="00F715E7">
        <w:rPr>
          <w:sz w:val="22"/>
          <w:szCs w:val="22"/>
        </w:rPr>
        <w:t>argumentó</w:t>
      </w:r>
      <w:r w:rsidRPr="00F715E7">
        <w:rPr>
          <w:sz w:val="22"/>
          <w:szCs w:val="22"/>
        </w:rPr>
        <w:t xml:space="preserve"> que el orden jurídico de carácter secundario al que se encuentra suscrito el </w:t>
      </w:r>
      <w:r w:rsidR="0080491E" w:rsidRPr="00F715E7">
        <w:rPr>
          <w:sz w:val="22"/>
          <w:szCs w:val="22"/>
        </w:rPr>
        <w:t>E</w:t>
      </w:r>
      <w:r w:rsidRPr="00F715E7">
        <w:rPr>
          <w:sz w:val="22"/>
          <w:szCs w:val="22"/>
        </w:rPr>
        <w:t>stado de Veracruz, no puede restringir o disminuir a los partidos políticos el derecho a acceder a las prerrogativas y recibir el financiamiento público en los términos del artículo 41 de la Constitución Federal, de la Ley General de Partidos Políticos y demás leyes federales o locales aplicables.</w:t>
      </w:r>
    </w:p>
    <w:p w14:paraId="335D6D37"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223398B2" w14:textId="102DF335"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Tomando como base lo anterior, señal</w:t>
      </w:r>
      <w:r w:rsidR="0080491E" w:rsidRPr="00F715E7">
        <w:rPr>
          <w:sz w:val="22"/>
          <w:szCs w:val="22"/>
        </w:rPr>
        <w:t>ó</w:t>
      </w:r>
      <w:r w:rsidRPr="00F715E7">
        <w:rPr>
          <w:sz w:val="22"/>
          <w:szCs w:val="22"/>
        </w:rPr>
        <w:t xml:space="preserve"> que de una interpretación sistemática y funcional de los artículos 41 constitucional y 23</w:t>
      </w:r>
      <w:r w:rsidR="0080491E" w:rsidRPr="00F715E7">
        <w:rPr>
          <w:sz w:val="22"/>
          <w:szCs w:val="22"/>
        </w:rPr>
        <w:t>,</w:t>
      </w:r>
      <w:r w:rsidRPr="00F715E7">
        <w:rPr>
          <w:sz w:val="22"/>
          <w:szCs w:val="22"/>
        </w:rPr>
        <w:t xml:space="preserve"> numeral 1</w:t>
      </w:r>
      <w:r w:rsidR="0080491E" w:rsidRPr="00F715E7">
        <w:rPr>
          <w:sz w:val="22"/>
          <w:szCs w:val="22"/>
        </w:rPr>
        <w:t>,</w:t>
      </w:r>
      <w:r w:rsidRPr="00F715E7">
        <w:rPr>
          <w:sz w:val="22"/>
          <w:szCs w:val="22"/>
        </w:rPr>
        <w:t xml:space="preserve"> inciso d), </w:t>
      </w:r>
      <w:r w:rsidR="00517CF2">
        <w:rPr>
          <w:sz w:val="22"/>
          <w:szCs w:val="22"/>
        </w:rPr>
        <w:t xml:space="preserve">y </w:t>
      </w:r>
      <w:r w:rsidRPr="00F715E7">
        <w:rPr>
          <w:sz w:val="22"/>
          <w:szCs w:val="22"/>
        </w:rPr>
        <w:t>51</w:t>
      </w:r>
      <w:r w:rsidR="0080491E" w:rsidRPr="00F715E7">
        <w:rPr>
          <w:sz w:val="22"/>
          <w:szCs w:val="22"/>
        </w:rPr>
        <w:t>,</w:t>
      </w:r>
      <w:r w:rsidRPr="00F715E7">
        <w:rPr>
          <w:sz w:val="22"/>
          <w:szCs w:val="22"/>
        </w:rPr>
        <w:t xml:space="preserve"> párrafo 1</w:t>
      </w:r>
      <w:r w:rsidR="0080491E" w:rsidRPr="00F715E7">
        <w:rPr>
          <w:sz w:val="22"/>
          <w:szCs w:val="22"/>
        </w:rPr>
        <w:t>,</w:t>
      </w:r>
      <w:r w:rsidRPr="00F715E7">
        <w:rPr>
          <w:sz w:val="22"/>
          <w:szCs w:val="22"/>
        </w:rPr>
        <w:t xml:space="preserve"> inciso a)</w:t>
      </w:r>
      <w:r w:rsidR="0080491E" w:rsidRPr="00F715E7">
        <w:rPr>
          <w:sz w:val="22"/>
          <w:szCs w:val="22"/>
        </w:rPr>
        <w:t>,</w:t>
      </w:r>
      <w:r w:rsidRPr="00F715E7">
        <w:rPr>
          <w:sz w:val="22"/>
          <w:szCs w:val="22"/>
        </w:rPr>
        <w:t xml:space="preserve"> numeral I</w:t>
      </w:r>
      <w:r w:rsidR="0080491E" w:rsidRPr="00F715E7">
        <w:rPr>
          <w:sz w:val="22"/>
          <w:szCs w:val="22"/>
        </w:rPr>
        <w:t>,</w:t>
      </w:r>
      <w:r w:rsidRPr="00F715E7">
        <w:rPr>
          <w:sz w:val="22"/>
          <w:szCs w:val="22"/>
        </w:rPr>
        <w:t xml:space="preserve"> de la Ley General de Partidos Políticos se debe entender que los principios que permean en los derechos humanos también debe entenderse como disposiciones para los partidos políticos, entonces, el financiamiento público otorgado a los partidos políticos para llevar a cabo sus actividades, forman parte importante de los derechos políticos y los mismos se alcanzan a través de la expedición de medidas y disposiciones, acordes con la Constitución Federal.</w:t>
      </w:r>
    </w:p>
    <w:p w14:paraId="3075A39B"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2C123AF7" w14:textId="573F9256" w:rsidR="003C3BCD" w:rsidRPr="00F715E7" w:rsidRDefault="00541A50"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Retomó </w:t>
      </w:r>
      <w:r w:rsidR="003C3BCD" w:rsidRPr="00F715E7">
        <w:rPr>
          <w:sz w:val="22"/>
          <w:szCs w:val="22"/>
        </w:rPr>
        <w:t xml:space="preserve">lo resuelto por la Suprema Corte de Justicia de la Nación en las sentencias de las acciones de Inconstitucionalidad relativas a los expedientes 5/2015 y 38/2017, en cuanto a que la libertad auto configurativa de las legislaturas locales debe estar ajustada a las normas constitucionales y legales que rigen esta institución, y por ende no es posible variar las fórmulas de asignación de prerrogativas de financiamiento público para los partidos políticos. </w:t>
      </w:r>
    </w:p>
    <w:p w14:paraId="526CDE69"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359D4354" w14:textId="203BA213" w:rsidR="003C3BCD" w:rsidRPr="00F715E7" w:rsidRDefault="00102746"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Así, señaló que </w:t>
      </w:r>
      <w:r w:rsidR="003C3BCD" w:rsidRPr="00F715E7">
        <w:rPr>
          <w:sz w:val="22"/>
          <w:szCs w:val="22"/>
        </w:rPr>
        <w:t xml:space="preserve">al preverse una excepción para disminuir el porcentaje de asignación de financiamiento público, se contraviene la norma constitucional que otorga certeza </w:t>
      </w:r>
      <w:r w:rsidR="003C3BCD" w:rsidRPr="00F715E7">
        <w:rPr>
          <w:sz w:val="22"/>
          <w:szCs w:val="22"/>
        </w:rPr>
        <w:lastRenderedPageBreak/>
        <w:t>a los partidos políticos del monto que le será asignado como prerrogativa de financiamiento público.</w:t>
      </w:r>
    </w:p>
    <w:p w14:paraId="6D2CB78B"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678A3B04" w14:textId="6ED930DA"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Por otro lado, el </w:t>
      </w:r>
      <w:r w:rsidR="00FA076E" w:rsidRPr="00F715E7">
        <w:rPr>
          <w:sz w:val="22"/>
          <w:szCs w:val="22"/>
        </w:rPr>
        <w:t xml:space="preserve">partido </w:t>
      </w:r>
      <w:r w:rsidRPr="00F715E7">
        <w:rPr>
          <w:sz w:val="22"/>
          <w:szCs w:val="22"/>
        </w:rPr>
        <w:t>político argument</w:t>
      </w:r>
      <w:r w:rsidR="002875FE" w:rsidRPr="00F715E7">
        <w:rPr>
          <w:sz w:val="22"/>
          <w:szCs w:val="22"/>
        </w:rPr>
        <w:t>ó</w:t>
      </w:r>
      <w:r w:rsidRPr="00F715E7">
        <w:rPr>
          <w:sz w:val="22"/>
          <w:szCs w:val="22"/>
        </w:rPr>
        <w:t xml:space="preserve"> que la porción normativa del artículo 50, apartado a, fracción I, del Código Electoral local debe inaplicarse por ser inconstitucional, dado que prevé una excepción a la fórmula prevista en el artículo 51 de la Ley General de Partidos Políticos, variando los porcentajes para determinar la asignación del financiamiento público.</w:t>
      </w:r>
    </w:p>
    <w:p w14:paraId="3D06FB78"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FE9FD77" w14:textId="7263B51B"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Como apoyo a su argumento, cit</w:t>
      </w:r>
      <w:r w:rsidR="002875FE" w:rsidRPr="00F715E7">
        <w:rPr>
          <w:sz w:val="22"/>
          <w:szCs w:val="22"/>
        </w:rPr>
        <w:t>ó</w:t>
      </w:r>
      <w:r w:rsidRPr="00F715E7">
        <w:rPr>
          <w:sz w:val="22"/>
          <w:szCs w:val="22"/>
        </w:rPr>
        <w:t xml:space="preserve"> lo resuelto por el Tribunal Pleno de la Suprema Corte de Justicia de la Nación en la acción de inconstitucionalidad 5/2015, en la que por unanimidad de diez votos se declaró la invalidez </w:t>
      </w:r>
      <w:r w:rsidR="00CA3CBE" w:rsidRPr="00F715E7">
        <w:rPr>
          <w:sz w:val="22"/>
          <w:szCs w:val="22"/>
        </w:rPr>
        <w:t xml:space="preserve">de </w:t>
      </w:r>
      <w:r w:rsidRPr="00F715E7">
        <w:rPr>
          <w:sz w:val="22"/>
          <w:szCs w:val="22"/>
        </w:rPr>
        <w:t xml:space="preserve">normas electorales que no observaban las bases establecidas en los artículos 51 y 52 de la Ley General de Partidos Políticos. En dicho precedente también se determinó que las leyes de los </w:t>
      </w:r>
      <w:r w:rsidR="00517CF2">
        <w:rPr>
          <w:sz w:val="22"/>
          <w:szCs w:val="22"/>
        </w:rPr>
        <w:t>E</w:t>
      </w:r>
      <w:r w:rsidRPr="00F715E7">
        <w:rPr>
          <w:sz w:val="22"/>
          <w:szCs w:val="22"/>
        </w:rPr>
        <w:t>stados en materia electoral deberán ser acordes con las bases establecidas en la propia Norma Federal y en las leyes generales respectivas por lo que en el caso las normas impugnadas resultaban inconstitucionales al no observar las bases establecidas en la Ley General de Partidos Políticos.</w:t>
      </w:r>
    </w:p>
    <w:p w14:paraId="5EAD9406"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4148332" w14:textId="7AEDF099"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También señal</w:t>
      </w:r>
      <w:r w:rsidR="0034389E" w:rsidRPr="00F715E7">
        <w:rPr>
          <w:sz w:val="22"/>
          <w:szCs w:val="22"/>
        </w:rPr>
        <w:t>ó</w:t>
      </w:r>
      <w:r w:rsidRPr="00F715E7">
        <w:rPr>
          <w:sz w:val="22"/>
          <w:szCs w:val="22"/>
        </w:rPr>
        <w:t xml:space="preserve"> que el artículo impugnado establece una restricción inconstitucional al derecho de los partidos políticos a recibir financiamiento público completo que contraviene el principio de certeza electoral.</w:t>
      </w:r>
    </w:p>
    <w:p w14:paraId="61F9E6E9"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B1C5901" w14:textId="2AC57C42"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Ello porque aun cuando no supone la supresión total, sino parcial</w:t>
      </w:r>
      <w:r w:rsidR="00611924" w:rsidRPr="00F715E7">
        <w:rPr>
          <w:sz w:val="22"/>
          <w:szCs w:val="22"/>
        </w:rPr>
        <w:t xml:space="preserve"> </w:t>
      </w:r>
      <w:r w:rsidRPr="00F715E7">
        <w:rPr>
          <w:sz w:val="22"/>
          <w:szCs w:val="22"/>
        </w:rPr>
        <w:t xml:space="preserve">del financiamiento público sí altera los presupuestos previstos constitucionalmente, pues el legislador local no puede modificar los esquemas de asignación. Ni la Constitución Federal, ni la Ley General de Partidos Políticos permiten disminuir el financiamiento de los partidos políticos por causas como la regulada en el artículo impugnado y, a su parecer, una restricción de esta naturaleza tendría que sustentarse en la Constitución y la ley general en la materia. En otro orden de ideas, el instituto político </w:t>
      </w:r>
      <w:r w:rsidR="0034389E" w:rsidRPr="00F715E7">
        <w:rPr>
          <w:sz w:val="22"/>
          <w:szCs w:val="22"/>
        </w:rPr>
        <w:t>apuntó</w:t>
      </w:r>
      <w:r w:rsidRPr="00F715E7">
        <w:rPr>
          <w:sz w:val="22"/>
          <w:szCs w:val="22"/>
        </w:rPr>
        <w:t xml:space="preserve"> que el artículo impugnado contraviene el artículo 41 constitucional, por violación a los principios de legalidad, certeza y objetividad, pues establece parámetros que quedan al arbitrio del operador jurídico, utilizando conceptos genéricos y abiertos, como “En casos excepcionales”, “velando por el interés público</w:t>
      </w:r>
      <w:r w:rsidR="005F3E97" w:rsidRPr="00F715E7">
        <w:rPr>
          <w:sz w:val="22"/>
          <w:szCs w:val="22"/>
        </w:rPr>
        <w:t>”</w:t>
      </w:r>
      <w:r w:rsidRPr="00F715E7">
        <w:rPr>
          <w:sz w:val="22"/>
          <w:szCs w:val="22"/>
        </w:rPr>
        <w:t xml:space="preserve"> y “atendiendo la disminución presupuestal”, sin que se establezcan parámetros objetivos. </w:t>
      </w:r>
    </w:p>
    <w:p w14:paraId="198F4578"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2868D8B9" w14:textId="754E6C5E" w:rsidR="003C3BCD" w:rsidRPr="00F715E7" w:rsidRDefault="003C3BCD" w:rsidP="0098787A">
      <w:pPr>
        <w:pStyle w:val="Prrafodelista"/>
        <w:widowControl w:val="0"/>
        <w:autoSpaceDE w:val="0"/>
        <w:autoSpaceDN w:val="0"/>
        <w:spacing w:before="0" w:after="0" w:line="240" w:lineRule="auto"/>
        <w:ind w:left="567"/>
        <w:rPr>
          <w:i/>
          <w:iCs/>
          <w:sz w:val="22"/>
          <w:szCs w:val="22"/>
        </w:rPr>
      </w:pPr>
      <w:r w:rsidRPr="00F715E7">
        <w:rPr>
          <w:sz w:val="22"/>
          <w:szCs w:val="22"/>
        </w:rPr>
        <w:t>Finalmente, consider</w:t>
      </w:r>
      <w:r w:rsidR="0034389E" w:rsidRPr="00F715E7">
        <w:rPr>
          <w:sz w:val="22"/>
          <w:szCs w:val="22"/>
        </w:rPr>
        <w:t>ó</w:t>
      </w:r>
      <w:r w:rsidRPr="00F715E7">
        <w:rPr>
          <w:sz w:val="22"/>
          <w:szCs w:val="22"/>
        </w:rPr>
        <w:t xml:space="preserve"> oportuno el estudio de este asunto bajo los siguientes criterios emitidos por la Sala Superior del </w:t>
      </w:r>
      <w:r w:rsidR="005D6694" w:rsidRPr="00F715E7">
        <w:rPr>
          <w:sz w:val="22"/>
          <w:szCs w:val="22"/>
        </w:rPr>
        <w:t xml:space="preserve">Tribunal Electoral del </w:t>
      </w:r>
      <w:r w:rsidRPr="00F715E7">
        <w:rPr>
          <w:sz w:val="22"/>
          <w:szCs w:val="22"/>
        </w:rPr>
        <w:t xml:space="preserve">Poder Judicial de la Federación: Jurisprudencia 35/2013 de rubro </w:t>
      </w:r>
      <w:r w:rsidRPr="00F715E7">
        <w:rPr>
          <w:i/>
          <w:iCs/>
          <w:sz w:val="22"/>
          <w:szCs w:val="22"/>
        </w:rPr>
        <w:t xml:space="preserve">“INCONSTITUCIONALIDAD DE LEYES ELECTORALES. SE PUEDE PLANTEAR POR CADA ACTO DE APLICACIÓN” </w:t>
      </w:r>
      <w:r w:rsidRPr="00F715E7">
        <w:rPr>
          <w:sz w:val="22"/>
          <w:szCs w:val="22"/>
        </w:rPr>
        <w:t>y la</w:t>
      </w:r>
      <w:r w:rsidRPr="00F715E7">
        <w:rPr>
          <w:i/>
          <w:iCs/>
          <w:sz w:val="22"/>
          <w:szCs w:val="22"/>
        </w:rPr>
        <w:t xml:space="preserve"> </w:t>
      </w:r>
      <w:r w:rsidRPr="00F715E7">
        <w:rPr>
          <w:sz w:val="22"/>
          <w:szCs w:val="22"/>
        </w:rPr>
        <w:t>Jurisprudencia 7/2007 de rubro</w:t>
      </w:r>
      <w:r w:rsidRPr="00F715E7">
        <w:rPr>
          <w:i/>
          <w:iCs/>
          <w:sz w:val="22"/>
          <w:szCs w:val="22"/>
        </w:rPr>
        <w:t xml:space="preserve"> “FUNDAMENTACIÓN Y MOTIVACIÓN INDEBIDA. LA TIENEN LOS ACTOS QUE DERIVAN DIRECTA E INMEDIATAMENTE DE OTROS QUE ADOLECEN DE INCONSTITUCIONALIDAD O ILEGALIDAD”</w:t>
      </w:r>
      <w:r w:rsidR="00C36DEB" w:rsidRPr="00F715E7">
        <w:rPr>
          <w:i/>
          <w:iCs/>
          <w:sz w:val="22"/>
          <w:szCs w:val="22"/>
        </w:rPr>
        <w:t>.</w:t>
      </w:r>
    </w:p>
    <w:p w14:paraId="594EF9A9" w14:textId="77777777" w:rsidR="003C3BCD" w:rsidRPr="00F715E7" w:rsidRDefault="003C3BCD" w:rsidP="0098787A">
      <w:pPr>
        <w:pStyle w:val="Prrafodelista"/>
        <w:widowControl w:val="0"/>
        <w:autoSpaceDE w:val="0"/>
        <w:autoSpaceDN w:val="0"/>
        <w:spacing w:before="0" w:after="0" w:line="240" w:lineRule="auto"/>
        <w:ind w:left="567"/>
        <w:rPr>
          <w:i/>
          <w:iCs/>
          <w:sz w:val="22"/>
          <w:szCs w:val="22"/>
        </w:rPr>
      </w:pPr>
    </w:p>
    <w:p w14:paraId="45CCBB09" w14:textId="1918DF05" w:rsidR="003C3BCD" w:rsidRPr="00F715E7" w:rsidRDefault="003C3BCD" w:rsidP="0098787A">
      <w:pPr>
        <w:pStyle w:val="Prrafodelista"/>
        <w:widowControl w:val="0"/>
        <w:autoSpaceDE w:val="0"/>
        <w:autoSpaceDN w:val="0"/>
        <w:spacing w:before="0" w:after="0" w:line="240" w:lineRule="auto"/>
        <w:ind w:left="567"/>
        <w:rPr>
          <w:b/>
          <w:bCs/>
          <w:sz w:val="22"/>
          <w:szCs w:val="22"/>
        </w:rPr>
      </w:pPr>
      <w:r w:rsidRPr="00F715E7">
        <w:rPr>
          <w:b/>
          <w:bCs/>
          <w:sz w:val="22"/>
          <w:szCs w:val="22"/>
        </w:rPr>
        <w:t>c. Tercer concepto de invalidez</w:t>
      </w:r>
      <w:r w:rsidR="00C36DEB" w:rsidRPr="00F715E7">
        <w:rPr>
          <w:b/>
          <w:bCs/>
          <w:sz w:val="22"/>
          <w:szCs w:val="22"/>
        </w:rPr>
        <w:t>.</w:t>
      </w:r>
    </w:p>
    <w:p w14:paraId="5A301EA9"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031523CC" w14:textId="6850117D"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 Partido Verde Ecologista de México estim</w:t>
      </w:r>
      <w:r w:rsidR="0034389E" w:rsidRPr="00F715E7">
        <w:rPr>
          <w:sz w:val="22"/>
          <w:szCs w:val="22"/>
        </w:rPr>
        <w:t>ó</w:t>
      </w:r>
      <w:r w:rsidRPr="00F715E7">
        <w:rPr>
          <w:sz w:val="22"/>
          <w:szCs w:val="22"/>
        </w:rPr>
        <w:t xml:space="preserve"> que con la reforma del artículo 50</w:t>
      </w:r>
      <w:r w:rsidR="00611924" w:rsidRPr="00F715E7">
        <w:rPr>
          <w:sz w:val="22"/>
          <w:szCs w:val="22"/>
        </w:rPr>
        <w:t>,</w:t>
      </w:r>
      <w:r w:rsidRPr="00F715E7">
        <w:rPr>
          <w:sz w:val="22"/>
          <w:szCs w:val="22"/>
        </w:rPr>
        <w:t xml:space="preserve"> apartado A</w:t>
      </w:r>
      <w:r w:rsidR="00611924" w:rsidRPr="00F715E7">
        <w:rPr>
          <w:sz w:val="22"/>
          <w:szCs w:val="22"/>
        </w:rPr>
        <w:t>,</w:t>
      </w:r>
      <w:r w:rsidRPr="00F715E7">
        <w:rPr>
          <w:sz w:val="22"/>
          <w:szCs w:val="22"/>
        </w:rPr>
        <w:t xml:space="preserve"> fracción</w:t>
      </w:r>
      <w:r w:rsidR="00611924" w:rsidRPr="00F715E7">
        <w:rPr>
          <w:sz w:val="22"/>
          <w:szCs w:val="22"/>
        </w:rPr>
        <w:t xml:space="preserve"> I,</w:t>
      </w:r>
      <w:r w:rsidRPr="00F715E7">
        <w:rPr>
          <w:sz w:val="22"/>
          <w:szCs w:val="22"/>
        </w:rPr>
        <w:t xml:space="preserve"> se viola el principio de legalidad en la distribución del financiamiento público a los partidos políticos que se encuentra previsto en el artículo 41 constitucional, así como en </w:t>
      </w:r>
      <w:r w:rsidR="00517CF2">
        <w:rPr>
          <w:sz w:val="22"/>
          <w:szCs w:val="22"/>
        </w:rPr>
        <w:t>los diversos</w:t>
      </w:r>
      <w:r w:rsidRPr="00F715E7">
        <w:rPr>
          <w:sz w:val="22"/>
          <w:szCs w:val="22"/>
        </w:rPr>
        <w:t xml:space="preserve"> 23 numeral 1</w:t>
      </w:r>
      <w:r w:rsidR="00027E2F" w:rsidRPr="00F715E7">
        <w:rPr>
          <w:sz w:val="22"/>
          <w:szCs w:val="22"/>
        </w:rPr>
        <w:t>,</w:t>
      </w:r>
      <w:r w:rsidRPr="00F715E7">
        <w:rPr>
          <w:sz w:val="22"/>
          <w:szCs w:val="22"/>
        </w:rPr>
        <w:t xml:space="preserve"> inciso d) y 51</w:t>
      </w:r>
      <w:r w:rsidR="00027E2F" w:rsidRPr="00F715E7">
        <w:rPr>
          <w:sz w:val="22"/>
          <w:szCs w:val="22"/>
        </w:rPr>
        <w:t>,</w:t>
      </w:r>
      <w:r w:rsidRPr="00F715E7">
        <w:rPr>
          <w:sz w:val="22"/>
          <w:szCs w:val="22"/>
        </w:rPr>
        <w:t xml:space="preserve"> primer párrafo</w:t>
      </w:r>
      <w:r w:rsidR="00027E2F" w:rsidRPr="00F715E7">
        <w:rPr>
          <w:sz w:val="22"/>
          <w:szCs w:val="22"/>
        </w:rPr>
        <w:t>,</w:t>
      </w:r>
      <w:r w:rsidRPr="00F715E7">
        <w:rPr>
          <w:sz w:val="22"/>
          <w:szCs w:val="22"/>
        </w:rPr>
        <w:t xml:space="preserve"> inciso a)</w:t>
      </w:r>
      <w:r w:rsidR="00027E2F" w:rsidRPr="00F715E7">
        <w:rPr>
          <w:sz w:val="22"/>
          <w:szCs w:val="22"/>
        </w:rPr>
        <w:t>,</w:t>
      </w:r>
      <w:r w:rsidRPr="00F715E7">
        <w:rPr>
          <w:sz w:val="22"/>
          <w:szCs w:val="22"/>
        </w:rPr>
        <w:t xml:space="preserve"> numeral I</w:t>
      </w:r>
      <w:r w:rsidR="00027E2F" w:rsidRPr="00F715E7">
        <w:rPr>
          <w:sz w:val="22"/>
          <w:szCs w:val="22"/>
        </w:rPr>
        <w:t>,</w:t>
      </w:r>
      <w:r w:rsidRPr="00F715E7">
        <w:rPr>
          <w:sz w:val="22"/>
          <w:szCs w:val="22"/>
        </w:rPr>
        <w:t xml:space="preserve"> de la Ley General de Partidos Políticos.</w:t>
      </w:r>
    </w:p>
    <w:p w14:paraId="5D0AF9E3"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09215CD3" w14:textId="5911F7AB"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Ello es así porque la norma tuvo una modificación sustantiva en su hipótesis normativa, porque el decreto incide directamente en el capítulo VII del </w:t>
      </w:r>
      <w:r w:rsidR="004128FE" w:rsidRPr="00F715E7">
        <w:rPr>
          <w:sz w:val="22"/>
          <w:szCs w:val="22"/>
        </w:rPr>
        <w:t>C</w:t>
      </w:r>
      <w:r w:rsidRPr="00F715E7">
        <w:rPr>
          <w:sz w:val="22"/>
          <w:szCs w:val="22"/>
        </w:rPr>
        <w:t xml:space="preserve">ódigo </w:t>
      </w:r>
      <w:r w:rsidR="004128FE" w:rsidRPr="00F715E7">
        <w:rPr>
          <w:sz w:val="22"/>
          <w:szCs w:val="22"/>
        </w:rPr>
        <w:t>E</w:t>
      </w:r>
      <w:r w:rsidRPr="00F715E7">
        <w:rPr>
          <w:sz w:val="22"/>
          <w:szCs w:val="22"/>
        </w:rPr>
        <w:t>lectoral de Veracruz, denominado “DEL FINANCIAMIENTO” en este sentido, la violación de la norma debe leerse dentro del contexto y del sistema del cual forma parte, así lo que se pretende establecer viola lo dispuesto en los artículos 41</w:t>
      </w:r>
      <w:r w:rsidR="00027E2F" w:rsidRPr="00F715E7">
        <w:rPr>
          <w:sz w:val="22"/>
          <w:szCs w:val="22"/>
        </w:rPr>
        <w:t>,</w:t>
      </w:r>
      <w:r w:rsidRPr="00F715E7">
        <w:rPr>
          <w:sz w:val="22"/>
          <w:szCs w:val="22"/>
        </w:rPr>
        <w:t xml:space="preserve"> constitucional, en materia de financiamiento público para los partidos políticos y 23 numeral 1</w:t>
      </w:r>
      <w:r w:rsidR="00027E2F" w:rsidRPr="00F715E7">
        <w:rPr>
          <w:sz w:val="22"/>
          <w:szCs w:val="22"/>
        </w:rPr>
        <w:t>,</w:t>
      </w:r>
      <w:r w:rsidRPr="00F715E7">
        <w:rPr>
          <w:sz w:val="22"/>
          <w:szCs w:val="22"/>
        </w:rPr>
        <w:t xml:space="preserve"> inciso d), </w:t>
      </w:r>
      <w:r w:rsidR="00517CF2">
        <w:rPr>
          <w:sz w:val="22"/>
          <w:szCs w:val="22"/>
        </w:rPr>
        <w:t xml:space="preserve">y </w:t>
      </w:r>
      <w:r w:rsidRPr="00F715E7">
        <w:rPr>
          <w:sz w:val="22"/>
          <w:szCs w:val="22"/>
        </w:rPr>
        <w:t>51</w:t>
      </w:r>
      <w:r w:rsidR="00027E2F" w:rsidRPr="00F715E7">
        <w:rPr>
          <w:sz w:val="22"/>
          <w:szCs w:val="22"/>
        </w:rPr>
        <w:t>,</w:t>
      </w:r>
      <w:r w:rsidRPr="00F715E7">
        <w:rPr>
          <w:sz w:val="22"/>
          <w:szCs w:val="22"/>
        </w:rPr>
        <w:t xml:space="preserve"> párrafo 1</w:t>
      </w:r>
      <w:r w:rsidR="00027E2F" w:rsidRPr="00F715E7">
        <w:rPr>
          <w:sz w:val="22"/>
          <w:szCs w:val="22"/>
        </w:rPr>
        <w:t>,</w:t>
      </w:r>
      <w:r w:rsidRPr="00F715E7">
        <w:rPr>
          <w:sz w:val="22"/>
          <w:szCs w:val="22"/>
        </w:rPr>
        <w:t xml:space="preserve"> inciso a)</w:t>
      </w:r>
      <w:r w:rsidR="00027E2F" w:rsidRPr="00F715E7">
        <w:rPr>
          <w:sz w:val="22"/>
          <w:szCs w:val="22"/>
        </w:rPr>
        <w:t>,</w:t>
      </w:r>
      <w:r w:rsidRPr="00F715E7">
        <w:rPr>
          <w:sz w:val="22"/>
          <w:szCs w:val="22"/>
        </w:rPr>
        <w:t xml:space="preserve"> numeral I</w:t>
      </w:r>
      <w:r w:rsidR="00027E2F" w:rsidRPr="00F715E7">
        <w:rPr>
          <w:sz w:val="22"/>
          <w:szCs w:val="22"/>
        </w:rPr>
        <w:t>,</w:t>
      </w:r>
      <w:r w:rsidRPr="00F715E7">
        <w:rPr>
          <w:sz w:val="22"/>
          <w:szCs w:val="22"/>
        </w:rPr>
        <w:t xml:space="preserve"> de la Ley General de Partidos Políticos en el mismo tema.</w:t>
      </w:r>
    </w:p>
    <w:p w14:paraId="5FF2CF96"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01128B88" w14:textId="6A3088A6" w:rsidR="003C3BCD" w:rsidRPr="00F715E7" w:rsidRDefault="003C3BCD" w:rsidP="0098787A">
      <w:pPr>
        <w:pStyle w:val="Prrafodelista"/>
        <w:widowControl w:val="0"/>
        <w:autoSpaceDE w:val="0"/>
        <w:autoSpaceDN w:val="0"/>
        <w:spacing w:before="0" w:after="0" w:line="240" w:lineRule="auto"/>
        <w:ind w:left="567"/>
        <w:rPr>
          <w:b/>
          <w:bCs/>
          <w:sz w:val="22"/>
          <w:szCs w:val="22"/>
        </w:rPr>
      </w:pPr>
      <w:r w:rsidRPr="00F715E7">
        <w:rPr>
          <w:b/>
          <w:bCs/>
          <w:sz w:val="22"/>
          <w:szCs w:val="22"/>
        </w:rPr>
        <w:t>d. Cuarto concepto de invalidez</w:t>
      </w:r>
      <w:r w:rsidR="00C36DEB" w:rsidRPr="00F715E7">
        <w:rPr>
          <w:b/>
          <w:bCs/>
          <w:sz w:val="22"/>
          <w:szCs w:val="22"/>
        </w:rPr>
        <w:t>.</w:t>
      </w:r>
    </w:p>
    <w:p w14:paraId="3F7F924F"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1C1CB97E" w14:textId="26FF331B"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El </w:t>
      </w:r>
      <w:r w:rsidR="00FA076E" w:rsidRPr="00F715E7">
        <w:rPr>
          <w:sz w:val="22"/>
          <w:szCs w:val="22"/>
        </w:rPr>
        <w:t>partid</w:t>
      </w:r>
      <w:r w:rsidRPr="00F715E7">
        <w:rPr>
          <w:sz w:val="22"/>
          <w:szCs w:val="22"/>
        </w:rPr>
        <w:t>o político argument</w:t>
      </w:r>
      <w:r w:rsidR="0034389E" w:rsidRPr="00F715E7">
        <w:rPr>
          <w:sz w:val="22"/>
          <w:szCs w:val="22"/>
        </w:rPr>
        <w:t>ó</w:t>
      </w:r>
      <w:r w:rsidRPr="00F715E7">
        <w:rPr>
          <w:sz w:val="22"/>
          <w:szCs w:val="22"/>
        </w:rPr>
        <w:t xml:space="preserve">, con base en la tesis de Jurisprudencia 5/2016 emitida por la Sala Superior del </w:t>
      </w:r>
      <w:r w:rsidR="00C447FC" w:rsidRPr="00F715E7">
        <w:rPr>
          <w:sz w:val="22"/>
          <w:szCs w:val="22"/>
        </w:rPr>
        <w:t xml:space="preserve">Tribunal Electoral del </w:t>
      </w:r>
      <w:r w:rsidRPr="00F715E7">
        <w:rPr>
          <w:sz w:val="22"/>
          <w:szCs w:val="22"/>
        </w:rPr>
        <w:t xml:space="preserve">Poder Judicial de la Federación de rubro </w:t>
      </w:r>
      <w:r w:rsidRPr="00F715E7">
        <w:rPr>
          <w:i/>
          <w:iCs/>
          <w:sz w:val="22"/>
          <w:szCs w:val="22"/>
        </w:rPr>
        <w:t>“LIBERTAD DE CONFIGURACIÓN LEGISLATIVA EN MATERIA ELECTORAL. DEBE RESPETAR EL DERECHO A LA IGUALDAD.”</w:t>
      </w:r>
      <w:r w:rsidRPr="00F715E7">
        <w:rPr>
          <w:sz w:val="22"/>
          <w:szCs w:val="22"/>
        </w:rPr>
        <w:t xml:space="preserve">, que si bien es cierto, los </w:t>
      </w:r>
      <w:r w:rsidR="00262C53">
        <w:rPr>
          <w:sz w:val="22"/>
          <w:szCs w:val="22"/>
        </w:rPr>
        <w:t>E</w:t>
      </w:r>
      <w:r w:rsidRPr="00F715E7">
        <w:rPr>
          <w:sz w:val="22"/>
          <w:szCs w:val="22"/>
        </w:rPr>
        <w:t xml:space="preserve">stados cuentan con libertad de configuración legislativa, lo cierto es que tal libertad, no es absoluta, pues debe de respetar los principios y bases establecidos en la Constitución Federal y los tratados internacionales suscritos por el Estado </w:t>
      </w:r>
      <w:r w:rsidR="00262C53">
        <w:rPr>
          <w:sz w:val="22"/>
          <w:szCs w:val="22"/>
        </w:rPr>
        <w:t>M</w:t>
      </w:r>
      <w:r w:rsidRPr="00F715E7">
        <w:rPr>
          <w:sz w:val="22"/>
          <w:szCs w:val="22"/>
        </w:rPr>
        <w:t>exicano, lo que en este caso no se cumple, pues la reforma que se combate establece una restricción al porcentaje establecido en la disposición constitucional e incluso, se encuentra prohibida por la Ley General de Partidos Políticos, lo que la hace contraria a ambos textos y por ende la vicia de invalidez.</w:t>
      </w:r>
    </w:p>
    <w:p w14:paraId="1504DF15"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76EEE6F7" w14:textId="62F72D3B" w:rsidR="003C3BCD" w:rsidRPr="00F715E7" w:rsidRDefault="003C3BCD" w:rsidP="0098787A">
      <w:pPr>
        <w:pStyle w:val="Prrafodelista"/>
        <w:widowControl w:val="0"/>
        <w:autoSpaceDE w:val="0"/>
        <w:autoSpaceDN w:val="0"/>
        <w:spacing w:before="0" w:after="0" w:line="240" w:lineRule="auto"/>
        <w:ind w:left="567"/>
        <w:rPr>
          <w:b/>
          <w:bCs/>
          <w:sz w:val="22"/>
          <w:szCs w:val="22"/>
        </w:rPr>
      </w:pPr>
      <w:r w:rsidRPr="00F715E7">
        <w:rPr>
          <w:b/>
          <w:bCs/>
          <w:sz w:val="22"/>
          <w:szCs w:val="22"/>
        </w:rPr>
        <w:t>e. Quinto concepto de invalidez</w:t>
      </w:r>
      <w:r w:rsidR="00C36DEB" w:rsidRPr="00F715E7">
        <w:rPr>
          <w:b/>
          <w:bCs/>
          <w:sz w:val="22"/>
          <w:szCs w:val="22"/>
        </w:rPr>
        <w:t>.</w:t>
      </w:r>
    </w:p>
    <w:p w14:paraId="461F96BA"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44E6474B" w14:textId="64E762EA"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 Partido Verde Ecologista de México estim</w:t>
      </w:r>
      <w:r w:rsidR="0034389E" w:rsidRPr="00F715E7">
        <w:rPr>
          <w:sz w:val="22"/>
          <w:szCs w:val="22"/>
        </w:rPr>
        <w:t>ó</w:t>
      </w:r>
      <w:r w:rsidRPr="00F715E7">
        <w:rPr>
          <w:sz w:val="22"/>
          <w:szCs w:val="22"/>
        </w:rPr>
        <w:t xml:space="preserve"> que la</w:t>
      </w:r>
      <w:r w:rsidRPr="00F715E7">
        <w:rPr>
          <w:b/>
          <w:bCs/>
          <w:sz w:val="22"/>
          <w:szCs w:val="22"/>
        </w:rPr>
        <w:t xml:space="preserve"> </w:t>
      </w:r>
      <w:r w:rsidRPr="00F715E7">
        <w:rPr>
          <w:sz w:val="22"/>
          <w:szCs w:val="22"/>
        </w:rPr>
        <w:t xml:space="preserve">aplicación del nuevo texto del artículo 50 del </w:t>
      </w:r>
      <w:r w:rsidR="0034389E" w:rsidRPr="00F715E7">
        <w:rPr>
          <w:sz w:val="22"/>
          <w:szCs w:val="22"/>
        </w:rPr>
        <w:t>C</w:t>
      </w:r>
      <w:r w:rsidRPr="00F715E7">
        <w:rPr>
          <w:sz w:val="22"/>
          <w:szCs w:val="22"/>
        </w:rPr>
        <w:t xml:space="preserve">ódigo </w:t>
      </w:r>
      <w:r w:rsidR="0034389E" w:rsidRPr="00F715E7">
        <w:rPr>
          <w:sz w:val="22"/>
          <w:szCs w:val="22"/>
        </w:rPr>
        <w:t>E</w:t>
      </w:r>
      <w:r w:rsidRPr="00F715E7">
        <w:rPr>
          <w:sz w:val="22"/>
          <w:szCs w:val="22"/>
        </w:rPr>
        <w:t>lectoral local, viola los principios de equidad y de igualdad, pues es contrario a lo que establece el bloque de constitucional</w:t>
      </w:r>
      <w:r w:rsidR="00B2199C" w:rsidRPr="00F715E7">
        <w:rPr>
          <w:sz w:val="22"/>
          <w:szCs w:val="22"/>
        </w:rPr>
        <w:t>idad</w:t>
      </w:r>
      <w:r w:rsidRPr="00F715E7">
        <w:rPr>
          <w:sz w:val="22"/>
          <w:szCs w:val="22"/>
        </w:rPr>
        <w:t xml:space="preserve">, en tanto no se apega a los términos establecidos en el artículo 41 de la Constitución, ni en concordancia con lo que establece la Ley General de Partidos Políticos, ni lo que establece la </w:t>
      </w:r>
      <w:r w:rsidR="00B2199C" w:rsidRPr="00F715E7">
        <w:rPr>
          <w:sz w:val="22"/>
          <w:szCs w:val="22"/>
        </w:rPr>
        <w:t>C</w:t>
      </w:r>
      <w:r w:rsidRPr="00F715E7">
        <w:rPr>
          <w:sz w:val="22"/>
          <w:szCs w:val="22"/>
        </w:rPr>
        <w:t xml:space="preserve">onvención </w:t>
      </w:r>
      <w:r w:rsidR="00B2199C" w:rsidRPr="00F715E7">
        <w:rPr>
          <w:sz w:val="22"/>
          <w:szCs w:val="22"/>
        </w:rPr>
        <w:t xml:space="preserve">Americana sobre </w:t>
      </w:r>
      <w:r w:rsidRPr="00F715E7">
        <w:rPr>
          <w:sz w:val="22"/>
          <w:szCs w:val="22"/>
        </w:rPr>
        <w:t>Derechos Humanos.</w:t>
      </w:r>
    </w:p>
    <w:p w14:paraId="5149ED66"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1C254423" w14:textId="0ABB98DB"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Al respecto, señal</w:t>
      </w:r>
      <w:r w:rsidR="0034389E" w:rsidRPr="00F715E7">
        <w:rPr>
          <w:sz w:val="22"/>
          <w:szCs w:val="22"/>
        </w:rPr>
        <w:t>ó</w:t>
      </w:r>
      <w:r w:rsidRPr="00F715E7">
        <w:rPr>
          <w:sz w:val="22"/>
          <w:szCs w:val="22"/>
        </w:rPr>
        <w:t xml:space="preserve"> que, si bien en la reforma impugnada se adiciona lo relativo al financiamiento a los partidos políticos locales, haciendo referencia a que será de acuerdo </w:t>
      </w:r>
      <w:r w:rsidR="00C449E5" w:rsidRPr="00F715E7">
        <w:rPr>
          <w:sz w:val="22"/>
          <w:szCs w:val="22"/>
        </w:rPr>
        <w:t>con</w:t>
      </w:r>
      <w:r w:rsidRPr="00F715E7">
        <w:rPr>
          <w:sz w:val="22"/>
          <w:szCs w:val="22"/>
        </w:rPr>
        <w:t xml:space="preserve"> la Ley General de Partidos Políticos</w:t>
      </w:r>
      <w:r w:rsidR="00027E2F" w:rsidRPr="00F715E7">
        <w:rPr>
          <w:sz w:val="22"/>
          <w:szCs w:val="22"/>
        </w:rPr>
        <w:t>,</w:t>
      </w:r>
      <w:r w:rsidRPr="00F715E7">
        <w:rPr>
          <w:sz w:val="22"/>
          <w:szCs w:val="22"/>
        </w:rPr>
        <w:t xml:space="preserve"> no pasa desapercibido que se disminuye a un 32.5% el financiamiento de los partidos políticos nacionales para el sostenimiento de sus actividades ordinarias permanentes en contravención la Constitución Federal y a la Ley General de Partidos Políticos.</w:t>
      </w:r>
    </w:p>
    <w:p w14:paraId="5CB3C3A3"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776524A5" w14:textId="62734933"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Finalmente, solicit</w:t>
      </w:r>
      <w:r w:rsidR="0034389E" w:rsidRPr="00F715E7">
        <w:rPr>
          <w:sz w:val="22"/>
          <w:szCs w:val="22"/>
        </w:rPr>
        <w:t>ó</w:t>
      </w:r>
      <w:r w:rsidRPr="00F715E7">
        <w:rPr>
          <w:sz w:val="22"/>
          <w:szCs w:val="22"/>
        </w:rPr>
        <w:t xml:space="preserve"> que en atención a la obligación contenida en el artículo 1</w:t>
      </w:r>
      <w:r w:rsidR="00247D15">
        <w:rPr>
          <w:sz w:val="22"/>
          <w:szCs w:val="22"/>
        </w:rPr>
        <w:t>°</w:t>
      </w:r>
      <w:r w:rsidRPr="00F715E7">
        <w:rPr>
          <w:sz w:val="22"/>
          <w:szCs w:val="22"/>
        </w:rPr>
        <w:t xml:space="preserve"> de la Constitución Federal, se lleve a cabo el ejercicio de control difuso de constitucionalidad, verificando que no existe manera de realizar una interpretación conforme a la Constitución, porque no es posible armonizar el artículo impugnado con el bloque de constitucionalidad, razón por la cual debe ser inaplicado en concordancia con lo reconocido por el Pleno de la Suprema Corte de Justicia de la Nación, en el sentido de que la regulación del monto y forma de calcular el financiamiento público para los institutos políticos acorde a lo previsto en la Constitución </w:t>
      </w:r>
      <w:r w:rsidR="0034389E" w:rsidRPr="00F715E7">
        <w:rPr>
          <w:sz w:val="22"/>
          <w:szCs w:val="22"/>
        </w:rPr>
        <w:t>F</w:t>
      </w:r>
      <w:r w:rsidRPr="00F715E7">
        <w:rPr>
          <w:sz w:val="22"/>
          <w:szCs w:val="22"/>
        </w:rPr>
        <w:t xml:space="preserve">ederal corresponde al Congreso de la Unión mediante las leyes generales que al efecto expidió, el cálculo del financiamiento público para los partidos políticos no se puede </w:t>
      </w:r>
      <w:r w:rsidRPr="00F715E7">
        <w:rPr>
          <w:sz w:val="22"/>
          <w:szCs w:val="22"/>
        </w:rPr>
        <w:lastRenderedPageBreak/>
        <w:t xml:space="preserve">variar ni los requisitos para obtenerlo, a partir de que está previsto en la Constitución Federal y en la </w:t>
      </w:r>
      <w:r w:rsidR="00247D15">
        <w:rPr>
          <w:sz w:val="22"/>
          <w:szCs w:val="22"/>
        </w:rPr>
        <w:t>L</w:t>
      </w:r>
      <w:r w:rsidRPr="00F715E7">
        <w:rPr>
          <w:sz w:val="22"/>
          <w:szCs w:val="22"/>
        </w:rPr>
        <w:t xml:space="preserve">ey </w:t>
      </w:r>
      <w:r w:rsidR="00247D15">
        <w:rPr>
          <w:sz w:val="22"/>
          <w:szCs w:val="22"/>
        </w:rPr>
        <w:t>G</w:t>
      </w:r>
      <w:r w:rsidRPr="00F715E7">
        <w:rPr>
          <w:sz w:val="22"/>
          <w:szCs w:val="22"/>
        </w:rPr>
        <w:t>eneral, por lo cual las legislaturas locales se deben de ajustar invariablemente.</w:t>
      </w:r>
      <w:r w:rsidRPr="00F715E7">
        <w:rPr>
          <w:rStyle w:val="Refdenotaalpie"/>
          <w:sz w:val="22"/>
          <w:szCs w:val="22"/>
        </w:rPr>
        <w:footnoteReference w:id="3"/>
      </w:r>
    </w:p>
    <w:p w14:paraId="7E3BC560" w14:textId="77777777" w:rsidR="003C3BCD" w:rsidRPr="00F715E7" w:rsidRDefault="003C3BCD" w:rsidP="0098787A">
      <w:pPr>
        <w:widowControl w:val="0"/>
        <w:autoSpaceDE w:val="0"/>
        <w:autoSpaceDN w:val="0"/>
        <w:spacing w:before="0" w:after="0" w:line="240" w:lineRule="auto"/>
        <w:ind w:left="567"/>
        <w:rPr>
          <w:sz w:val="22"/>
          <w:szCs w:val="22"/>
        </w:rPr>
      </w:pPr>
    </w:p>
    <w:p w14:paraId="560FE265" w14:textId="3F8F23F9" w:rsidR="003C3BCD" w:rsidRPr="00F715E7" w:rsidRDefault="003C3BCD" w:rsidP="0098787A">
      <w:pPr>
        <w:widowControl w:val="0"/>
        <w:autoSpaceDE w:val="0"/>
        <w:autoSpaceDN w:val="0"/>
        <w:spacing w:before="0" w:after="0" w:line="240" w:lineRule="auto"/>
        <w:ind w:left="567"/>
        <w:rPr>
          <w:b/>
          <w:bCs/>
          <w:sz w:val="22"/>
          <w:szCs w:val="22"/>
        </w:rPr>
      </w:pPr>
      <w:r w:rsidRPr="00F715E7">
        <w:rPr>
          <w:b/>
          <w:bCs/>
          <w:sz w:val="22"/>
          <w:szCs w:val="22"/>
        </w:rPr>
        <w:t>f. Sexto concepto de invalidez</w:t>
      </w:r>
      <w:r w:rsidR="00C36DEB" w:rsidRPr="00F715E7">
        <w:rPr>
          <w:b/>
          <w:bCs/>
          <w:sz w:val="22"/>
          <w:szCs w:val="22"/>
        </w:rPr>
        <w:t>.</w:t>
      </w:r>
    </w:p>
    <w:p w14:paraId="3A6D1389"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05933641" w14:textId="30C83EAB"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 Partido Verde Ecologista de México consider</w:t>
      </w:r>
      <w:r w:rsidR="0034389E" w:rsidRPr="00F715E7">
        <w:rPr>
          <w:sz w:val="22"/>
          <w:szCs w:val="22"/>
        </w:rPr>
        <w:t>ó</w:t>
      </w:r>
      <w:r w:rsidRPr="00F715E7">
        <w:rPr>
          <w:sz w:val="22"/>
          <w:szCs w:val="22"/>
        </w:rPr>
        <w:t xml:space="preserve"> que se vulnera el principio de igualdad en tanto se les da un trato distinto a los partidos políticos nacionales respecto de los partidos políticos locales.</w:t>
      </w:r>
    </w:p>
    <w:p w14:paraId="7B951A06"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22146426" w14:textId="628E6203"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Tomando en cuenta que la Ley </w:t>
      </w:r>
      <w:r w:rsidR="0057541A">
        <w:rPr>
          <w:sz w:val="22"/>
          <w:szCs w:val="22"/>
        </w:rPr>
        <w:t xml:space="preserve">General </w:t>
      </w:r>
      <w:r w:rsidRPr="00F715E7">
        <w:rPr>
          <w:sz w:val="22"/>
          <w:szCs w:val="22"/>
        </w:rPr>
        <w:t>de Partidos Políticos es de orden Público y de observancia general para los partidos políticos nacionales y locales, estim</w:t>
      </w:r>
      <w:r w:rsidR="0034389E" w:rsidRPr="00F715E7">
        <w:rPr>
          <w:sz w:val="22"/>
          <w:szCs w:val="22"/>
        </w:rPr>
        <w:t>ó</w:t>
      </w:r>
      <w:r w:rsidRPr="00F715E7">
        <w:rPr>
          <w:sz w:val="22"/>
          <w:szCs w:val="22"/>
        </w:rPr>
        <w:t xml:space="preserve"> que variar la formula, disminuyendo en la mitad el porcentaje de financiamiento a los partidos políticos nacionales, respecto del monto que se recibirá a nivel local, es contrario a lo que establece el marco normativo en materia electoral. La nueva redacción del artículo 50 del Código </w:t>
      </w:r>
      <w:r w:rsidR="00777B38" w:rsidRPr="00F715E7">
        <w:rPr>
          <w:sz w:val="22"/>
          <w:szCs w:val="22"/>
        </w:rPr>
        <w:t>E</w:t>
      </w:r>
      <w:r w:rsidRPr="00F715E7">
        <w:rPr>
          <w:sz w:val="22"/>
          <w:szCs w:val="22"/>
        </w:rPr>
        <w:t>lectoral local, deja a los partidos políticos nacionales en visible desigualdad con el partido político local de tal suerte que un partido local, con una votación menor que la del instituto político accionante, podrá recibir por concepto de financiamiento una cantidad mayor a la del Partido Verde Ecologista como partido político nacional.</w:t>
      </w:r>
    </w:p>
    <w:p w14:paraId="0352C4F9"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195B3CA8" w14:textId="0A14FF7D" w:rsidR="003C3BCD" w:rsidRPr="00F715E7" w:rsidRDefault="005A52B8" w:rsidP="0098787A">
      <w:pPr>
        <w:pStyle w:val="Prrafodelista"/>
        <w:widowControl w:val="0"/>
        <w:autoSpaceDE w:val="0"/>
        <w:autoSpaceDN w:val="0"/>
        <w:spacing w:before="0" w:after="0" w:line="240" w:lineRule="auto"/>
        <w:ind w:left="567"/>
        <w:rPr>
          <w:sz w:val="22"/>
          <w:szCs w:val="22"/>
        </w:rPr>
      </w:pPr>
      <w:r w:rsidRPr="00F715E7">
        <w:rPr>
          <w:sz w:val="22"/>
          <w:szCs w:val="22"/>
        </w:rPr>
        <w:t>Además</w:t>
      </w:r>
      <w:r w:rsidR="003C3BCD" w:rsidRPr="00F715E7">
        <w:rPr>
          <w:sz w:val="22"/>
          <w:szCs w:val="22"/>
        </w:rPr>
        <w:t>, cit</w:t>
      </w:r>
      <w:r w:rsidR="00777B38" w:rsidRPr="00F715E7">
        <w:rPr>
          <w:sz w:val="22"/>
          <w:szCs w:val="22"/>
        </w:rPr>
        <w:t>ó</w:t>
      </w:r>
      <w:r w:rsidR="003C3BCD" w:rsidRPr="00F715E7">
        <w:rPr>
          <w:sz w:val="22"/>
          <w:szCs w:val="22"/>
        </w:rPr>
        <w:t xml:space="preserve"> lo resuelto en la contradicción de tesis 351/2014 en donde la Suprema Corte de Justicia de la Nación estableció que el artículo 1º de la Constitución General obliga a todas las autoridades jurisdiccionales a dejar de aplicar cualquier disposición que vulnere los derechos humanos, y los órganos del Poder Judicial de la Federación no son la excepción. El Pleno explicó que lo anterior encuentra su fundamento en el mandato de proteger, respetar y prevenir violaciones a los derechos humanos, previsto en el artículo 1º constitucional; y que dicho mandato conlleva la obligación, incluso para los tribunales del Poder Judicial de la Federación, de dejar de aplicar disposiciones que contravengan derechos humanos, resaltando que el ejercicio de ese control es necesario para proteger los derechos humanos reconocidos constitucionalmente.</w:t>
      </w:r>
    </w:p>
    <w:p w14:paraId="5C32B559"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206410A5" w14:textId="244DE18C" w:rsidR="003C3BCD" w:rsidRPr="00F715E7" w:rsidRDefault="005A52B8" w:rsidP="0098787A">
      <w:pPr>
        <w:pStyle w:val="Prrafodelista"/>
        <w:widowControl w:val="0"/>
        <w:autoSpaceDE w:val="0"/>
        <w:autoSpaceDN w:val="0"/>
        <w:spacing w:before="0" w:after="0" w:line="240" w:lineRule="auto"/>
        <w:ind w:left="567"/>
        <w:rPr>
          <w:sz w:val="22"/>
          <w:szCs w:val="22"/>
        </w:rPr>
      </w:pPr>
      <w:r w:rsidRPr="00F715E7">
        <w:rPr>
          <w:sz w:val="22"/>
          <w:szCs w:val="22"/>
        </w:rPr>
        <w:t>Asimismo</w:t>
      </w:r>
      <w:r w:rsidR="003C3BCD" w:rsidRPr="00F715E7">
        <w:rPr>
          <w:sz w:val="22"/>
          <w:szCs w:val="22"/>
        </w:rPr>
        <w:t xml:space="preserve">, en la inteligencia de que los derechos </w:t>
      </w:r>
      <w:r w:rsidR="00FA076E" w:rsidRPr="00F715E7">
        <w:rPr>
          <w:sz w:val="22"/>
          <w:szCs w:val="22"/>
        </w:rPr>
        <w:t xml:space="preserve">de los </w:t>
      </w:r>
      <w:r w:rsidR="003C3BCD" w:rsidRPr="00F715E7">
        <w:rPr>
          <w:sz w:val="22"/>
          <w:szCs w:val="22"/>
        </w:rPr>
        <w:t xml:space="preserve">políticos electorales también son derechos humanos y que los mismos están protegidos por el bloque de constitucionalidad, </w:t>
      </w:r>
      <w:r w:rsidR="00FA076E" w:rsidRPr="00F715E7">
        <w:rPr>
          <w:sz w:val="22"/>
          <w:szCs w:val="22"/>
        </w:rPr>
        <w:t>considera que se debe tomar en cuenta a los tratados internacionales en la materia,</w:t>
      </w:r>
      <w:r w:rsidR="003C3BCD" w:rsidRPr="00F715E7">
        <w:rPr>
          <w:sz w:val="22"/>
          <w:szCs w:val="22"/>
        </w:rPr>
        <w:t xml:space="preserve"> así como la jurisprudencia que emite la Corte Interamericana de Derechos Humanos y las opiniones consultivas aplicables.</w:t>
      </w:r>
    </w:p>
    <w:p w14:paraId="39DF4057"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4B41E80" w14:textId="248331A8"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Por otro lado, consider</w:t>
      </w:r>
      <w:r w:rsidR="00777B38" w:rsidRPr="00F715E7">
        <w:rPr>
          <w:sz w:val="22"/>
          <w:szCs w:val="22"/>
        </w:rPr>
        <w:t>ó</w:t>
      </w:r>
      <w:r w:rsidRPr="00F715E7">
        <w:rPr>
          <w:sz w:val="22"/>
          <w:szCs w:val="22"/>
        </w:rPr>
        <w:t xml:space="preserve"> que la nueva redacción del artículo 50 del código local comicial no aprueba </w:t>
      </w:r>
      <w:proofErr w:type="gramStart"/>
      <w:r w:rsidRPr="00F715E7">
        <w:rPr>
          <w:sz w:val="22"/>
          <w:szCs w:val="22"/>
        </w:rPr>
        <w:t>el test</w:t>
      </w:r>
      <w:proofErr w:type="gramEnd"/>
      <w:r w:rsidRPr="00F715E7">
        <w:rPr>
          <w:sz w:val="22"/>
          <w:szCs w:val="22"/>
        </w:rPr>
        <w:t xml:space="preserve"> que realiza la Corte Interamericana de Derechos Humanos. Convenientemente</w:t>
      </w:r>
      <w:r w:rsidR="0098787A" w:rsidRPr="00F715E7">
        <w:rPr>
          <w:sz w:val="22"/>
          <w:szCs w:val="22"/>
        </w:rPr>
        <w:t>,</w:t>
      </w:r>
      <w:r w:rsidRPr="00F715E7">
        <w:rPr>
          <w:sz w:val="22"/>
          <w:szCs w:val="22"/>
        </w:rPr>
        <w:t xml:space="preserve"> la diferencia procesal entre las violaciones a derechos humanos en el caso Castañeda </w:t>
      </w:r>
      <w:r w:rsidR="00FA076E" w:rsidRPr="00F715E7">
        <w:rPr>
          <w:sz w:val="22"/>
          <w:szCs w:val="22"/>
        </w:rPr>
        <w:t xml:space="preserve">Gutman Vs. México, </w:t>
      </w:r>
      <w:r w:rsidRPr="00F715E7">
        <w:rPr>
          <w:sz w:val="22"/>
          <w:szCs w:val="22"/>
        </w:rPr>
        <w:t xml:space="preserve">y el que </w:t>
      </w:r>
      <w:r w:rsidR="00777B38" w:rsidRPr="00F715E7">
        <w:rPr>
          <w:sz w:val="22"/>
          <w:szCs w:val="22"/>
        </w:rPr>
        <w:t>argumentaron que se evidencia</w:t>
      </w:r>
      <w:r w:rsidRPr="00F715E7">
        <w:rPr>
          <w:sz w:val="22"/>
          <w:szCs w:val="22"/>
        </w:rPr>
        <w:t xml:space="preserve">, es que con base en la reforma </w:t>
      </w:r>
      <w:r w:rsidR="00FA076E" w:rsidRPr="00F715E7">
        <w:rPr>
          <w:sz w:val="22"/>
          <w:szCs w:val="22"/>
        </w:rPr>
        <w:t xml:space="preserve">constitucional, </w:t>
      </w:r>
      <w:r w:rsidRPr="00F715E7">
        <w:rPr>
          <w:sz w:val="22"/>
          <w:szCs w:val="22"/>
        </w:rPr>
        <w:t xml:space="preserve">en materia de derechos humanos </w:t>
      </w:r>
      <w:r w:rsidR="00FA076E" w:rsidRPr="00F715E7">
        <w:rPr>
          <w:sz w:val="22"/>
          <w:szCs w:val="22"/>
        </w:rPr>
        <w:t>2011</w:t>
      </w:r>
      <w:r w:rsidRPr="00F715E7">
        <w:rPr>
          <w:sz w:val="22"/>
          <w:szCs w:val="22"/>
        </w:rPr>
        <w:t xml:space="preserve">, al incluir en </w:t>
      </w:r>
      <w:r w:rsidR="00777B38" w:rsidRPr="00F715E7">
        <w:rPr>
          <w:sz w:val="22"/>
          <w:szCs w:val="22"/>
        </w:rPr>
        <w:t>la</w:t>
      </w:r>
      <w:r w:rsidRPr="00F715E7">
        <w:rPr>
          <w:sz w:val="22"/>
          <w:szCs w:val="22"/>
        </w:rPr>
        <w:t xml:space="preserve"> legislación interna el principio </w:t>
      </w:r>
      <w:proofErr w:type="spellStart"/>
      <w:r w:rsidRPr="00F715E7">
        <w:rPr>
          <w:i/>
          <w:iCs/>
          <w:sz w:val="22"/>
          <w:szCs w:val="22"/>
        </w:rPr>
        <w:t>pro</w:t>
      </w:r>
      <w:proofErr w:type="spellEnd"/>
      <w:r w:rsidRPr="00F715E7">
        <w:rPr>
          <w:i/>
          <w:iCs/>
          <w:sz w:val="22"/>
          <w:szCs w:val="22"/>
        </w:rPr>
        <w:t xml:space="preserve"> persona</w:t>
      </w:r>
      <w:r w:rsidRPr="00F715E7">
        <w:rPr>
          <w:sz w:val="22"/>
          <w:szCs w:val="22"/>
        </w:rPr>
        <w:t xml:space="preserve"> y </w:t>
      </w:r>
      <w:r w:rsidR="00FA076E" w:rsidRPr="00F715E7">
        <w:rPr>
          <w:sz w:val="22"/>
          <w:szCs w:val="22"/>
        </w:rPr>
        <w:t xml:space="preserve">la </w:t>
      </w:r>
      <w:r w:rsidRPr="00F715E7">
        <w:rPr>
          <w:sz w:val="22"/>
          <w:szCs w:val="22"/>
        </w:rPr>
        <w:t xml:space="preserve">obligación </w:t>
      </w:r>
      <w:r w:rsidR="00FA076E" w:rsidRPr="00F715E7">
        <w:rPr>
          <w:sz w:val="22"/>
          <w:szCs w:val="22"/>
        </w:rPr>
        <w:t>de</w:t>
      </w:r>
      <w:r w:rsidRPr="00F715E7">
        <w:rPr>
          <w:sz w:val="22"/>
          <w:szCs w:val="22"/>
        </w:rPr>
        <w:t xml:space="preserve"> los operadores jurídicos que resuelven asuntos en los que estén involucrados derechos humanos, </w:t>
      </w:r>
      <w:r w:rsidR="0098787A" w:rsidRPr="00F715E7">
        <w:rPr>
          <w:sz w:val="22"/>
          <w:szCs w:val="22"/>
        </w:rPr>
        <w:t xml:space="preserve">es que se obliga a </w:t>
      </w:r>
      <w:r w:rsidRPr="00F715E7">
        <w:rPr>
          <w:sz w:val="22"/>
          <w:szCs w:val="22"/>
        </w:rPr>
        <w:t xml:space="preserve">realizar un análisis denominado </w:t>
      </w:r>
      <w:r w:rsidRPr="00F715E7">
        <w:rPr>
          <w:sz w:val="22"/>
          <w:szCs w:val="22"/>
        </w:rPr>
        <w:lastRenderedPageBreak/>
        <w:t>control de convencionalidad que complementa el control de constitucionalidad y que puede dar como resultado que la norma que sea incompatible con el bloque de constitucionalidad.</w:t>
      </w:r>
    </w:p>
    <w:p w14:paraId="4D02E69F"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03563E9A" w14:textId="5AE1AF14" w:rsidR="003C3BCD" w:rsidRPr="00F715E7" w:rsidRDefault="003C3BCD" w:rsidP="0098787A">
      <w:pPr>
        <w:pStyle w:val="Prrafodelista"/>
        <w:widowControl w:val="0"/>
        <w:autoSpaceDE w:val="0"/>
        <w:autoSpaceDN w:val="0"/>
        <w:spacing w:before="0" w:after="0" w:line="240" w:lineRule="auto"/>
        <w:ind w:left="567"/>
        <w:rPr>
          <w:b/>
          <w:bCs/>
          <w:sz w:val="22"/>
          <w:szCs w:val="22"/>
        </w:rPr>
      </w:pPr>
      <w:r w:rsidRPr="00F715E7">
        <w:rPr>
          <w:b/>
          <w:bCs/>
          <w:sz w:val="22"/>
          <w:szCs w:val="22"/>
        </w:rPr>
        <w:t>g. Séptimo concepto de invalidez</w:t>
      </w:r>
      <w:r w:rsidR="00CB5CF8" w:rsidRPr="00F715E7">
        <w:rPr>
          <w:b/>
          <w:bCs/>
          <w:sz w:val="22"/>
          <w:szCs w:val="22"/>
        </w:rPr>
        <w:t>.</w:t>
      </w:r>
    </w:p>
    <w:p w14:paraId="1EAC4F72"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4E50F2C4" w14:textId="6B06EFBC"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En</w:t>
      </w:r>
      <w:r w:rsidR="00CF5364" w:rsidRPr="00F715E7">
        <w:rPr>
          <w:sz w:val="22"/>
          <w:szCs w:val="22"/>
        </w:rPr>
        <w:t xml:space="preserve"> </w:t>
      </w:r>
      <w:r w:rsidR="00101978" w:rsidRPr="00F715E7">
        <w:rPr>
          <w:sz w:val="22"/>
          <w:szCs w:val="22"/>
        </w:rPr>
        <w:t>los mismos</w:t>
      </w:r>
      <w:r w:rsidR="00CF5364" w:rsidRPr="00F715E7">
        <w:rPr>
          <w:sz w:val="22"/>
          <w:szCs w:val="22"/>
        </w:rPr>
        <w:t xml:space="preserve"> términos que </w:t>
      </w:r>
      <w:r w:rsidR="00101978" w:rsidRPr="00F715E7">
        <w:rPr>
          <w:sz w:val="22"/>
          <w:szCs w:val="22"/>
        </w:rPr>
        <w:t xml:space="preserve">en </w:t>
      </w:r>
      <w:r w:rsidR="00CF5364" w:rsidRPr="00F715E7">
        <w:rPr>
          <w:sz w:val="22"/>
          <w:szCs w:val="22"/>
        </w:rPr>
        <w:t xml:space="preserve">el concepto de invalidez segundo, </w:t>
      </w:r>
      <w:r w:rsidR="00101978" w:rsidRPr="00F715E7">
        <w:rPr>
          <w:sz w:val="22"/>
          <w:szCs w:val="22"/>
        </w:rPr>
        <w:t xml:space="preserve">el partido político </w:t>
      </w:r>
      <w:r w:rsidR="00996995" w:rsidRPr="00F715E7">
        <w:rPr>
          <w:sz w:val="22"/>
          <w:szCs w:val="22"/>
        </w:rPr>
        <w:t xml:space="preserve">señala que es aplicable lo dispuesto </w:t>
      </w:r>
      <w:r w:rsidRPr="00F715E7">
        <w:rPr>
          <w:sz w:val="22"/>
          <w:szCs w:val="22"/>
        </w:rPr>
        <w:t xml:space="preserve">en las sentencias de las acciones de </w:t>
      </w:r>
      <w:r w:rsidR="0061043C" w:rsidRPr="00F715E7">
        <w:rPr>
          <w:sz w:val="22"/>
          <w:szCs w:val="22"/>
        </w:rPr>
        <w:t>i</w:t>
      </w:r>
      <w:r w:rsidRPr="00F715E7">
        <w:rPr>
          <w:sz w:val="22"/>
          <w:szCs w:val="22"/>
        </w:rPr>
        <w:t>nconstitucionalidad relativas a los expedientes 5/2015 y 38/2017</w:t>
      </w:r>
      <w:r w:rsidR="0098787A" w:rsidRPr="00F715E7">
        <w:rPr>
          <w:sz w:val="22"/>
          <w:szCs w:val="22"/>
        </w:rPr>
        <w:t>. En ese sentido,</w:t>
      </w:r>
      <w:r w:rsidR="00996995" w:rsidRPr="00F715E7">
        <w:rPr>
          <w:sz w:val="22"/>
          <w:szCs w:val="22"/>
        </w:rPr>
        <w:t xml:space="preserve"> </w:t>
      </w:r>
      <w:r w:rsidRPr="00F715E7">
        <w:rPr>
          <w:sz w:val="22"/>
          <w:szCs w:val="22"/>
        </w:rPr>
        <w:t xml:space="preserve">la porción normativa </w:t>
      </w:r>
      <w:r w:rsidR="00996995" w:rsidRPr="00F715E7">
        <w:rPr>
          <w:sz w:val="22"/>
          <w:szCs w:val="22"/>
        </w:rPr>
        <w:t xml:space="preserve">impugnada </w:t>
      </w:r>
      <w:r w:rsidRPr="00F715E7">
        <w:rPr>
          <w:sz w:val="22"/>
          <w:szCs w:val="22"/>
        </w:rPr>
        <w:t xml:space="preserve">debe inaplicarse por ser inconstitucional, dado que </w:t>
      </w:r>
      <w:r w:rsidR="00E038FB" w:rsidRPr="00F715E7">
        <w:rPr>
          <w:sz w:val="22"/>
          <w:szCs w:val="22"/>
        </w:rPr>
        <w:t>no es acorde con</w:t>
      </w:r>
      <w:r w:rsidRPr="00F715E7">
        <w:rPr>
          <w:sz w:val="22"/>
          <w:szCs w:val="22"/>
        </w:rPr>
        <w:t xml:space="preserve"> la fórmula prevista en el artículo 51 de la Ley General de Partidos Político</w:t>
      </w:r>
      <w:r w:rsidR="00E038FB" w:rsidRPr="00F715E7">
        <w:rPr>
          <w:sz w:val="22"/>
          <w:szCs w:val="22"/>
        </w:rPr>
        <w:t>s</w:t>
      </w:r>
      <w:r w:rsidR="0098787A" w:rsidRPr="00F715E7">
        <w:rPr>
          <w:sz w:val="22"/>
          <w:szCs w:val="22"/>
        </w:rPr>
        <w:t>. Asimismo, se destacó</w:t>
      </w:r>
      <w:r w:rsidR="00E038FB" w:rsidRPr="00F715E7">
        <w:rPr>
          <w:sz w:val="22"/>
          <w:szCs w:val="22"/>
        </w:rPr>
        <w:t xml:space="preserve"> </w:t>
      </w:r>
      <w:r w:rsidR="0098787A" w:rsidRPr="00F715E7">
        <w:rPr>
          <w:sz w:val="22"/>
          <w:szCs w:val="22"/>
        </w:rPr>
        <w:t xml:space="preserve">que </w:t>
      </w:r>
      <w:r w:rsidR="008A3368" w:rsidRPr="00F715E7">
        <w:rPr>
          <w:sz w:val="22"/>
          <w:szCs w:val="22"/>
        </w:rPr>
        <w:t>es aplicable</w:t>
      </w:r>
      <w:r w:rsidRPr="00F715E7">
        <w:rPr>
          <w:sz w:val="22"/>
          <w:szCs w:val="22"/>
        </w:rPr>
        <w:t xml:space="preserve"> </w:t>
      </w:r>
      <w:r w:rsidR="0098787A" w:rsidRPr="00F715E7">
        <w:rPr>
          <w:sz w:val="22"/>
          <w:szCs w:val="22"/>
        </w:rPr>
        <w:t xml:space="preserve">lo resuelto en </w:t>
      </w:r>
      <w:r w:rsidRPr="00F715E7">
        <w:rPr>
          <w:sz w:val="22"/>
          <w:szCs w:val="22"/>
        </w:rPr>
        <w:t>la acción de inconstitucionalidad 5/2015, en la que se declaró la invalidez</w:t>
      </w:r>
      <w:r w:rsidR="00814439" w:rsidRPr="00F715E7">
        <w:rPr>
          <w:sz w:val="22"/>
          <w:szCs w:val="22"/>
        </w:rPr>
        <w:t xml:space="preserve"> de</w:t>
      </w:r>
      <w:r w:rsidRPr="00F715E7">
        <w:rPr>
          <w:sz w:val="22"/>
          <w:szCs w:val="22"/>
        </w:rPr>
        <w:t xml:space="preserve"> normas electorales que no observaban las bases establecidas en los </w:t>
      </w:r>
      <w:r w:rsidR="00296159">
        <w:rPr>
          <w:sz w:val="22"/>
          <w:szCs w:val="22"/>
        </w:rPr>
        <w:t>numerales</w:t>
      </w:r>
      <w:r w:rsidRPr="00F715E7">
        <w:rPr>
          <w:sz w:val="22"/>
          <w:szCs w:val="22"/>
        </w:rPr>
        <w:t xml:space="preserve"> 51 y 52 de la Ley General de Partidos Políticos</w:t>
      </w:r>
      <w:r w:rsidR="0098787A" w:rsidRPr="00F715E7">
        <w:rPr>
          <w:sz w:val="22"/>
          <w:szCs w:val="22"/>
        </w:rPr>
        <w:t>. De igual forma, considera que se</w:t>
      </w:r>
      <w:r w:rsidRPr="00F715E7">
        <w:rPr>
          <w:sz w:val="22"/>
          <w:szCs w:val="22"/>
        </w:rPr>
        <w:t xml:space="preserve"> contraviene el principio de certeza electoral</w:t>
      </w:r>
      <w:r w:rsidR="0098787A" w:rsidRPr="00F715E7">
        <w:rPr>
          <w:sz w:val="22"/>
          <w:szCs w:val="22"/>
        </w:rPr>
        <w:t xml:space="preserve"> y </w:t>
      </w:r>
      <w:r w:rsidRPr="00F715E7">
        <w:rPr>
          <w:sz w:val="22"/>
          <w:szCs w:val="22"/>
        </w:rPr>
        <w:t xml:space="preserve">el </w:t>
      </w:r>
      <w:r w:rsidR="00296159">
        <w:rPr>
          <w:sz w:val="22"/>
          <w:szCs w:val="22"/>
        </w:rPr>
        <w:t>precepto</w:t>
      </w:r>
      <w:r w:rsidRPr="00F715E7">
        <w:rPr>
          <w:sz w:val="22"/>
          <w:szCs w:val="22"/>
        </w:rPr>
        <w:t xml:space="preserve"> impugnado contraviene el </w:t>
      </w:r>
      <w:r w:rsidR="00296159">
        <w:rPr>
          <w:sz w:val="22"/>
          <w:szCs w:val="22"/>
        </w:rPr>
        <w:t>diverso</w:t>
      </w:r>
      <w:r w:rsidRPr="00F715E7">
        <w:rPr>
          <w:sz w:val="22"/>
          <w:szCs w:val="22"/>
        </w:rPr>
        <w:t xml:space="preserve"> 41 constitucional, por </w:t>
      </w:r>
      <w:r w:rsidR="0098787A" w:rsidRPr="00F715E7">
        <w:rPr>
          <w:sz w:val="22"/>
          <w:szCs w:val="22"/>
        </w:rPr>
        <w:t>violar</w:t>
      </w:r>
      <w:r w:rsidRPr="00F715E7">
        <w:rPr>
          <w:sz w:val="22"/>
          <w:szCs w:val="22"/>
        </w:rPr>
        <w:t xml:space="preserve"> los principios de legalidad, certeza y objetividad</w:t>
      </w:r>
      <w:r w:rsidR="0098787A" w:rsidRPr="00F715E7">
        <w:rPr>
          <w:sz w:val="22"/>
          <w:szCs w:val="22"/>
        </w:rPr>
        <w:t>. Finalmente destacó la aplicabilidad del</w:t>
      </w:r>
      <w:r w:rsidRPr="00F715E7">
        <w:rPr>
          <w:sz w:val="22"/>
          <w:szCs w:val="22"/>
        </w:rPr>
        <w:t xml:space="preserve"> criterio emitido por la Sala Superior del Poder Judicial de la Federación</w:t>
      </w:r>
      <w:r w:rsidR="0098787A" w:rsidRPr="00F715E7">
        <w:rPr>
          <w:sz w:val="22"/>
          <w:szCs w:val="22"/>
        </w:rPr>
        <w:t xml:space="preserve"> en la</w:t>
      </w:r>
      <w:r w:rsidRPr="00F715E7">
        <w:rPr>
          <w:sz w:val="22"/>
          <w:szCs w:val="22"/>
        </w:rPr>
        <w:t xml:space="preserve"> Jurisprudencia 35/2013 de rubro </w:t>
      </w:r>
      <w:r w:rsidRPr="00F715E7">
        <w:rPr>
          <w:i/>
          <w:iCs/>
          <w:sz w:val="22"/>
          <w:szCs w:val="22"/>
        </w:rPr>
        <w:t xml:space="preserve">“INCONSTITUCIONALIDAD DE LEYES ELECTORALES. SE PUEDE PLANTEAR POR CADA ACTO DE APLICACIÓN” </w:t>
      </w:r>
      <w:r w:rsidRPr="00F715E7">
        <w:rPr>
          <w:sz w:val="22"/>
          <w:szCs w:val="22"/>
        </w:rPr>
        <w:t>y la</w:t>
      </w:r>
      <w:r w:rsidRPr="00F715E7">
        <w:rPr>
          <w:i/>
          <w:iCs/>
          <w:sz w:val="22"/>
          <w:szCs w:val="22"/>
        </w:rPr>
        <w:t xml:space="preserve"> </w:t>
      </w:r>
      <w:r w:rsidRPr="00F715E7">
        <w:rPr>
          <w:sz w:val="22"/>
          <w:szCs w:val="22"/>
        </w:rPr>
        <w:t>Jurisprudencia 7/2007 de rubro</w:t>
      </w:r>
      <w:r w:rsidRPr="00F715E7">
        <w:rPr>
          <w:i/>
          <w:iCs/>
          <w:sz w:val="22"/>
          <w:szCs w:val="22"/>
        </w:rPr>
        <w:t xml:space="preserve"> “FUNDAMENTACIÓN Y MOTIVACIÓN INDEBIDA. LA TIENEN LOS ACTOS QUE DERIVAN DIRECTA E INMEDIATAMENTE DE OTROS QUE ADOLECEN DE INCONSTITUCIONALIDAD O ILEGALIDAD”</w:t>
      </w:r>
      <w:r w:rsidR="00CB5CF8" w:rsidRPr="00F715E7">
        <w:rPr>
          <w:i/>
          <w:iCs/>
          <w:sz w:val="22"/>
          <w:szCs w:val="22"/>
        </w:rPr>
        <w:t>.</w:t>
      </w:r>
    </w:p>
    <w:p w14:paraId="127E2B5D"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0D524051" w14:textId="0427F2C4" w:rsidR="003C3BCD" w:rsidRPr="00F715E7" w:rsidRDefault="00C24B0F" w:rsidP="0098787A">
      <w:pPr>
        <w:pStyle w:val="Estilo1"/>
        <w:numPr>
          <w:ilvl w:val="0"/>
          <w:numId w:val="0"/>
        </w:numPr>
        <w:spacing w:before="0" w:after="0"/>
        <w:ind w:left="567"/>
        <w:rPr>
          <w:b/>
          <w:sz w:val="22"/>
          <w:szCs w:val="22"/>
        </w:rPr>
      </w:pPr>
      <w:r w:rsidRPr="00F715E7">
        <w:rPr>
          <w:b/>
          <w:sz w:val="22"/>
          <w:szCs w:val="22"/>
        </w:rPr>
        <w:t>III</w:t>
      </w:r>
      <w:r w:rsidR="003C3BCD" w:rsidRPr="00F715E7">
        <w:rPr>
          <w:b/>
          <w:sz w:val="22"/>
          <w:szCs w:val="22"/>
        </w:rPr>
        <w:t>. Acción de inconstitucionalidad 10/2022 (Partido de la Revolución Democrática)</w:t>
      </w:r>
      <w:r w:rsidR="00296159">
        <w:rPr>
          <w:b/>
          <w:sz w:val="22"/>
          <w:szCs w:val="22"/>
        </w:rPr>
        <w:t>.</w:t>
      </w:r>
    </w:p>
    <w:p w14:paraId="31FE5929" w14:textId="77777777" w:rsidR="0098787A" w:rsidRPr="00F715E7" w:rsidRDefault="0098787A" w:rsidP="001E1EF8">
      <w:pPr>
        <w:pStyle w:val="Estilo1"/>
        <w:numPr>
          <w:ilvl w:val="0"/>
          <w:numId w:val="0"/>
        </w:numPr>
        <w:spacing w:before="0" w:after="0"/>
        <w:ind w:left="567"/>
        <w:rPr>
          <w:b/>
          <w:sz w:val="22"/>
          <w:szCs w:val="22"/>
        </w:rPr>
      </w:pPr>
    </w:p>
    <w:p w14:paraId="277A1960" w14:textId="3A8CDBEE" w:rsidR="003C3BCD" w:rsidRPr="00F715E7" w:rsidRDefault="003C3BCD" w:rsidP="001E1EF8">
      <w:pPr>
        <w:pStyle w:val="Estilo1"/>
        <w:numPr>
          <w:ilvl w:val="0"/>
          <w:numId w:val="0"/>
        </w:numPr>
        <w:spacing w:before="0" w:after="0"/>
        <w:ind w:left="567"/>
        <w:rPr>
          <w:b/>
          <w:sz w:val="22"/>
          <w:szCs w:val="22"/>
        </w:rPr>
      </w:pPr>
      <w:r w:rsidRPr="00F715E7">
        <w:rPr>
          <w:b/>
          <w:sz w:val="22"/>
          <w:szCs w:val="22"/>
        </w:rPr>
        <w:t>a. Primer concepto de invalidez</w:t>
      </w:r>
      <w:r w:rsidR="00CB5CF8" w:rsidRPr="00F715E7">
        <w:rPr>
          <w:b/>
          <w:sz w:val="22"/>
          <w:szCs w:val="22"/>
        </w:rPr>
        <w:t>.</w:t>
      </w:r>
    </w:p>
    <w:p w14:paraId="122C4953" w14:textId="3347D24C"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r w:rsidRPr="00F715E7">
        <w:rPr>
          <w:rFonts w:eastAsia="Arial"/>
          <w:sz w:val="22"/>
          <w:szCs w:val="22"/>
          <w:lang w:eastAsia="es-MX" w:bidi="es-MX"/>
        </w:rPr>
        <w:t>En su primer concepto de invalidez, señal</w:t>
      </w:r>
      <w:r w:rsidR="00856FFA" w:rsidRPr="00F715E7">
        <w:rPr>
          <w:rFonts w:eastAsia="Arial"/>
          <w:sz w:val="22"/>
          <w:szCs w:val="22"/>
          <w:lang w:eastAsia="es-MX" w:bidi="es-MX"/>
        </w:rPr>
        <w:t>ó</w:t>
      </w:r>
      <w:r w:rsidRPr="00F715E7">
        <w:rPr>
          <w:rFonts w:eastAsia="Arial"/>
          <w:sz w:val="22"/>
          <w:szCs w:val="22"/>
          <w:lang w:eastAsia="es-MX" w:bidi="es-MX"/>
        </w:rPr>
        <w:t xml:space="preserve"> que en contravención a lo dispuesto en el tercer y cuarto párrafo</w:t>
      </w:r>
      <w:r w:rsidR="00023FC4" w:rsidRPr="00F715E7">
        <w:rPr>
          <w:rFonts w:eastAsia="Arial"/>
          <w:sz w:val="22"/>
          <w:szCs w:val="22"/>
          <w:lang w:eastAsia="es-MX" w:bidi="es-MX"/>
        </w:rPr>
        <w:t>,</w:t>
      </w:r>
      <w:r w:rsidRPr="00F715E7">
        <w:rPr>
          <w:rFonts w:eastAsia="Arial"/>
          <w:sz w:val="22"/>
          <w:szCs w:val="22"/>
          <w:lang w:eastAsia="es-MX" w:bidi="es-MX"/>
        </w:rPr>
        <w:t xml:space="preserve"> fracción II</w:t>
      </w:r>
      <w:r w:rsidR="00023FC4" w:rsidRPr="00F715E7">
        <w:rPr>
          <w:rFonts w:eastAsia="Arial"/>
          <w:sz w:val="22"/>
          <w:szCs w:val="22"/>
          <w:lang w:eastAsia="es-MX" w:bidi="es-MX"/>
        </w:rPr>
        <w:t>,</w:t>
      </w:r>
      <w:r w:rsidRPr="00F715E7">
        <w:rPr>
          <w:rFonts w:eastAsia="Arial"/>
          <w:sz w:val="22"/>
          <w:szCs w:val="22"/>
          <w:lang w:eastAsia="es-MX" w:bidi="es-MX"/>
        </w:rPr>
        <w:t xml:space="preserve"> del artículo 105, de la Constitución Federal (relacionado con la veda electoral), no se está respetando el alcance de los efectos de la sentencia emitida dentro de la acción de inconstitucionalidad 241/2020 y sus acumuladas respecto del Código Electoral local, la reviviscencia de la norma local electoral previa a la expedición del Decreto 580 y la orden de no poder modificar la legislación electoral local durante el proceso electoral.</w:t>
      </w:r>
    </w:p>
    <w:p w14:paraId="4805B9A3" w14:textId="77777777"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p>
    <w:p w14:paraId="1EAF7CCE" w14:textId="3580653A"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r w:rsidRPr="00F715E7">
        <w:rPr>
          <w:bCs/>
          <w:sz w:val="22"/>
          <w:szCs w:val="22"/>
        </w:rPr>
        <w:t>Ello porque el proceso electoral local en el Estado de Veracruz no ha</w:t>
      </w:r>
      <w:r w:rsidR="00856FFA" w:rsidRPr="00F715E7">
        <w:rPr>
          <w:bCs/>
          <w:sz w:val="22"/>
          <w:szCs w:val="22"/>
        </w:rPr>
        <w:t>bía</w:t>
      </w:r>
      <w:r w:rsidRPr="00F715E7">
        <w:rPr>
          <w:bCs/>
          <w:sz w:val="22"/>
          <w:szCs w:val="22"/>
        </w:rPr>
        <w:t xml:space="preserve"> concluido</w:t>
      </w:r>
      <w:r w:rsidR="00856FFA" w:rsidRPr="00F715E7">
        <w:rPr>
          <w:bCs/>
          <w:sz w:val="22"/>
          <w:szCs w:val="22"/>
        </w:rPr>
        <w:t>,</w:t>
      </w:r>
      <w:r w:rsidRPr="00F715E7">
        <w:rPr>
          <w:bCs/>
          <w:sz w:val="22"/>
          <w:szCs w:val="22"/>
        </w:rPr>
        <w:t xml:space="preserve"> dado que la </w:t>
      </w:r>
      <w:r w:rsidRPr="00F715E7">
        <w:rPr>
          <w:rFonts w:eastAsia="Arial"/>
          <w:sz w:val="22"/>
          <w:szCs w:val="22"/>
          <w:lang w:eastAsia="es-MX" w:bidi="es-MX"/>
        </w:rPr>
        <w:t xml:space="preserve">cadena impugnativa aún se </w:t>
      </w:r>
      <w:r w:rsidR="00856FFA" w:rsidRPr="00F715E7">
        <w:rPr>
          <w:rFonts w:eastAsia="Arial"/>
          <w:sz w:val="22"/>
          <w:szCs w:val="22"/>
          <w:lang w:eastAsia="es-MX" w:bidi="es-MX"/>
        </w:rPr>
        <w:t>encontraba</w:t>
      </w:r>
      <w:r w:rsidRPr="00F715E7">
        <w:rPr>
          <w:rFonts w:eastAsia="Arial"/>
          <w:sz w:val="22"/>
          <w:szCs w:val="22"/>
          <w:lang w:eastAsia="es-MX" w:bidi="es-MX"/>
        </w:rPr>
        <w:t xml:space="preserve"> en proceso y no se </w:t>
      </w:r>
      <w:r w:rsidR="00856FFA" w:rsidRPr="00F715E7">
        <w:rPr>
          <w:rFonts w:eastAsia="Arial"/>
          <w:sz w:val="22"/>
          <w:szCs w:val="22"/>
          <w:lang w:eastAsia="es-MX" w:bidi="es-MX"/>
        </w:rPr>
        <w:t>habían</w:t>
      </w:r>
      <w:r w:rsidRPr="00F715E7">
        <w:rPr>
          <w:rFonts w:eastAsia="Arial"/>
          <w:sz w:val="22"/>
          <w:szCs w:val="22"/>
          <w:lang w:eastAsia="es-MX" w:bidi="es-MX"/>
        </w:rPr>
        <w:t xml:space="preserve"> resuelto todos los asuntos relativos a las elecciones municipales, </w:t>
      </w:r>
      <w:r w:rsidR="00856FFA" w:rsidRPr="00F715E7">
        <w:rPr>
          <w:rFonts w:eastAsia="Arial"/>
          <w:sz w:val="22"/>
          <w:szCs w:val="22"/>
          <w:lang w:eastAsia="es-MX" w:bidi="es-MX"/>
        </w:rPr>
        <w:t>asimismo, se habían</w:t>
      </w:r>
      <w:r w:rsidRPr="00F715E7">
        <w:rPr>
          <w:rFonts w:eastAsia="Arial"/>
          <w:sz w:val="22"/>
          <w:szCs w:val="22"/>
          <w:lang w:eastAsia="es-MX" w:bidi="es-MX"/>
        </w:rPr>
        <w:t xml:space="preserve"> emitido Puntos de Acuerdo en los que se nombra</w:t>
      </w:r>
      <w:r w:rsidR="00856FFA" w:rsidRPr="00F715E7">
        <w:rPr>
          <w:rFonts w:eastAsia="Arial"/>
          <w:sz w:val="22"/>
          <w:szCs w:val="22"/>
          <w:lang w:eastAsia="es-MX" w:bidi="es-MX"/>
        </w:rPr>
        <w:t>ban</w:t>
      </w:r>
      <w:r w:rsidRPr="00F715E7">
        <w:rPr>
          <w:rFonts w:eastAsia="Arial"/>
          <w:sz w:val="22"/>
          <w:szCs w:val="22"/>
          <w:lang w:eastAsia="es-MX" w:bidi="es-MX"/>
        </w:rPr>
        <w:t xml:space="preserve"> Concejos Municipales y convocatorias a Elecciones Extraordinarias en los Municipios de Jesús Carranza, Amatitlán, </w:t>
      </w:r>
      <w:proofErr w:type="spellStart"/>
      <w:r w:rsidRPr="00F715E7">
        <w:rPr>
          <w:rFonts w:eastAsia="Arial"/>
          <w:sz w:val="22"/>
          <w:szCs w:val="22"/>
          <w:lang w:eastAsia="es-MX" w:bidi="es-MX"/>
        </w:rPr>
        <w:t>Chiconamel</w:t>
      </w:r>
      <w:proofErr w:type="spellEnd"/>
      <w:r w:rsidRPr="00F715E7">
        <w:rPr>
          <w:rFonts w:eastAsia="Arial"/>
          <w:sz w:val="22"/>
          <w:szCs w:val="22"/>
          <w:lang w:eastAsia="es-MX" w:bidi="es-MX"/>
        </w:rPr>
        <w:t xml:space="preserve"> y Tlacotepec de Mejía.</w:t>
      </w:r>
    </w:p>
    <w:p w14:paraId="4D53B577" w14:textId="77777777"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p>
    <w:p w14:paraId="1F656CC6" w14:textId="0B983163"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Por otro lado, consider</w:t>
      </w:r>
      <w:r w:rsidR="00856FFA" w:rsidRPr="00F715E7">
        <w:rPr>
          <w:bCs/>
          <w:sz w:val="22"/>
          <w:szCs w:val="22"/>
        </w:rPr>
        <w:t>ó</w:t>
      </w:r>
      <w:r w:rsidRPr="00F715E7">
        <w:rPr>
          <w:bCs/>
          <w:sz w:val="22"/>
          <w:szCs w:val="22"/>
        </w:rPr>
        <w:t xml:space="preserve"> que no es suficiente </w:t>
      </w:r>
      <w:r w:rsidR="0098787A" w:rsidRPr="00F715E7">
        <w:rPr>
          <w:bCs/>
          <w:sz w:val="22"/>
          <w:szCs w:val="22"/>
        </w:rPr>
        <w:t>reconocer la</w:t>
      </w:r>
      <w:r w:rsidRPr="00F715E7">
        <w:rPr>
          <w:bCs/>
          <w:sz w:val="22"/>
          <w:szCs w:val="22"/>
        </w:rPr>
        <w:t xml:space="preserve"> validez </w:t>
      </w:r>
      <w:r w:rsidR="0098787A" w:rsidRPr="00F715E7">
        <w:rPr>
          <w:bCs/>
          <w:sz w:val="22"/>
          <w:szCs w:val="22"/>
        </w:rPr>
        <w:t>de</w:t>
      </w:r>
      <w:r w:rsidRPr="00F715E7">
        <w:rPr>
          <w:bCs/>
          <w:sz w:val="22"/>
          <w:szCs w:val="22"/>
        </w:rPr>
        <w:t xml:space="preserve"> la reforma </w:t>
      </w:r>
      <w:r w:rsidR="0098787A" w:rsidRPr="00F715E7">
        <w:rPr>
          <w:bCs/>
          <w:sz w:val="22"/>
          <w:szCs w:val="22"/>
        </w:rPr>
        <w:t xml:space="preserve">impugnada, el hecho de </w:t>
      </w:r>
      <w:r w:rsidRPr="00F715E7">
        <w:rPr>
          <w:bCs/>
          <w:sz w:val="22"/>
          <w:szCs w:val="22"/>
        </w:rPr>
        <w:t>que el artículo Transitorio Segundo del decreto impugnado establezca que las disposiciones entrar</w:t>
      </w:r>
      <w:r w:rsidR="001D0F6F" w:rsidRPr="00F715E7">
        <w:rPr>
          <w:bCs/>
          <w:sz w:val="22"/>
          <w:szCs w:val="22"/>
        </w:rPr>
        <w:t>á</w:t>
      </w:r>
      <w:r w:rsidR="00AC2A08" w:rsidRPr="00F715E7">
        <w:rPr>
          <w:bCs/>
          <w:sz w:val="22"/>
          <w:szCs w:val="22"/>
        </w:rPr>
        <w:t>n</w:t>
      </w:r>
      <w:r w:rsidRPr="00F715E7">
        <w:rPr>
          <w:bCs/>
          <w:sz w:val="22"/>
          <w:szCs w:val="22"/>
        </w:rPr>
        <w:t xml:space="preserve"> en vigor el día primero</w:t>
      </w:r>
      <w:r w:rsidR="00023FC4" w:rsidRPr="00F715E7">
        <w:rPr>
          <w:bCs/>
          <w:sz w:val="22"/>
          <w:szCs w:val="22"/>
        </w:rPr>
        <w:t xml:space="preserve"> de enero</w:t>
      </w:r>
      <w:r w:rsidRPr="00F715E7">
        <w:rPr>
          <w:bCs/>
          <w:sz w:val="22"/>
          <w:szCs w:val="22"/>
        </w:rPr>
        <w:t xml:space="preserve"> del año dos mil veintidós</w:t>
      </w:r>
      <w:r w:rsidR="00AC2A08" w:rsidRPr="00F715E7">
        <w:rPr>
          <w:bCs/>
          <w:sz w:val="22"/>
          <w:szCs w:val="22"/>
        </w:rPr>
        <w:t>,</w:t>
      </w:r>
      <w:r w:rsidRPr="00F715E7">
        <w:rPr>
          <w:bCs/>
          <w:sz w:val="22"/>
          <w:szCs w:val="22"/>
        </w:rPr>
        <w:t xml:space="preserve"> porque el proceso electoral local no ha</w:t>
      </w:r>
      <w:r w:rsidR="00AC2A08" w:rsidRPr="00F715E7">
        <w:rPr>
          <w:bCs/>
          <w:sz w:val="22"/>
          <w:szCs w:val="22"/>
        </w:rPr>
        <w:t>bía</w:t>
      </w:r>
      <w:r w:rsidRPr="00F715E7">
        <w:rPr>
          <w:bCs/>
          <w:sz w:val="22"/>
          <w:szCs w:val="22"/>
        </w:rPr>
        <w:t xml:space="preserve"> terminado.</w:t>
      </w:r>
    </w:p>
    <w:p w14:paraId="0B0415C4" w14:textId="77777777" w:rsidR="001D0F6F" w:rsidRPr="00F715E7" w:rsidRDefault="001D0F6F" w:rsidP="0098787A">
      <w:pPr>
        <w:pStyle w:val="Prrafodelista"/>
        <w:widowControl w:val="0"/>
        <w:autoSpaceDE w:val="0"/>
        <w:autoSpaceDN w:val="0"/>
        <w:spacing w:before="0" w:after="0" w:line="240" w:lineRule="auto"/>
        <w:ind w:left="567"/>
        <w:rPr>
          <w:bCs/>
          <w:sz w:val="22"/>
          <w:szCs w:val="22"/>
        </w:rPr>
      </w:pPr>
    </w:p>
    <w:p w14:paraId="110AB9E8" w14:textId="48DE0FB4" w:rsidR="003C3BCD" w:rsidRPr="00F715E7" w:rsidRDefault="003C3BCD" w:rsidP="001E1EF8">
      <w:pPr>
        <w:pStyle w:val="Estilo1"/>
        <w:numPr>
          <w:ilvl w:val="0"/>
          <w:numId w:val="0"/>
        </w:numPr>
        <w:spacing w:before="0" w:after="0"/>
        <w:ind w:left="567"/>
        <w:rPr>
          <w:b/>
          <w:sz w:val="22"/>
          <w:szCs w:val="22"/>
        </w:rPr>
      </w:pPr>
      <w:r w:rsidRPr="00F715E7">
        <w:rPr>
          <w:b/>
          <w:sz w:val="22"/>
          <w:szCs w:val="22"/>
        </w:rPr>
        <w:t>b. Segundo concepto de invalidez</w:t>
      </w:r>
      <w:r w:rsidR="00CB5CF8" w:rsidRPr="00F715E7">
        <w:rPr>
          <w:b/>
          <w:sz w:val="22"/>
          <w:szCs w:val="22"/>
        </w:rPr>
        <w:t>.</w:t>
      </w:r>
      <w:r w:rsidRPr="00F715E7">
        <w:rPr>
          <w:b/>
          <w:sz w:val="22"/>
          <w:szCs w:val="22"/>
        </w:rPr>
        <w:t xml:space="preserve"> </w:t>
      </w:r>
    </w:p>
    <w:p w14:paraId="638AA1D1" w14:textId="4770942D"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El Partido de la Revolución Democrática </w:t>
      </w:r>
      <w:r w:rsidR="00AC2A08" w:rsidRPr="00F715E7">
        <w:rPr>
          <w:bCs/>
          <w:sz w:val="22"/>
          <w:szCs w:val="22"/>
        </w:rPr>
        <w:t>adujo</w:t>
      </w:r>
      <w:r w:rsidRPr="00F715E7">
        <w:rPr>
          <w:bCs/>
          <w:sz w:val="22"/>
          <w:szCs w:val="22"/>
        </w:rPr>
        <w:t xml:space="preserve"> que el decreto impugnado transgrede el marco normativo constitucional</w:t>
      </w:r>
      <w:r w:rsidR="00023FC4" w:rsidRPr="00F715E7">
        <w:rPr>
          <w:bCs/>
          <w:sz w:val="22"/>
          <w:szCs w:val="22"/>
        </w:rPr>
        <w:t>,</w:t>
      </w:r>
      <w:r w:rsidRPr="00F715E7">
        <w:rPr>
          <w:bCs/>
          <w:sz w:val="22"/>
          <w:szCs w:val="22"/>
        </w:rPr>
        <w:t xml:space="preserve"> dado que la fórmula para establecer el financiamiento público a los partidos políticos es inconstitucional porque los parámetros para el cálculo de los montos de financiamiento público deben atender a lo dispuesto en la Constitución así como a la Ley General de Partidos Políticos, tal y como se consideró por el Tribunal Pleno de la Suprema Corte de Justicia</w:t>
      </w:r>
      <w:r w:rsidR="00AC2A08" w:rsidRPr="00F715E7">
        <w:rPr>
          <w:bCs/>
          <w:sz w:val="22"/>
          <w:szCs w:val="22"/>
        </w:rPr>
        <w:t xml:space="preserve"> de la Nación </w:t>
      </w:r>
      <w:r w:rsidRPr="00F715E7">
        <w:rPr>
          <w:bCs/>
          <w:sz w:val="22"/>
          <w:szCs w:val="22"/>
        </w:rPr>
        <w:t xml:space="preserve">en la sentencia de la acción de inconstitucionalidad 5/2015. </w:t>
      </w:r>
    </w:p>
    <w:p w14:paraId="586EB307"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9D70729" w14:textId="0062FA12"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Es decir, para determinar el financiamiento público de un partido político nacional se debe tomar en cuenta el artículo 51, inciso a) numeral 1, de la Ley General de Partidos Políticos, aunado a las bases establecidas en el </w:t>
      </w:r>
      <w:r w:rsidR="00296159">
        <w:rPr>
          <w:bCs/>
          <w:sz w:val="22"/>
          <w:szCs w:val="22"/>
        </w:rPr>
        <w:t>diverso</w:t>
      </w:r>
      <w:r w:rsidRPr="00F715E7">
        <w:rPr>
          <w:bCs/>
          <w:sz w:val="22"/>
          <w:szCs w:val="22"/>
        </w:rPr>
        <w:t xml:space="preserve"> 41, fracción II, incisos a), b) y c), de la Constitución Federal.</w:t>
      </w:r>
    </w:p>
    <w:p w14:paraId="393A6DC9"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1929336" w14:textId="3374D0E6"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Situación que en el caso no aconteció pues el legislador local inobservó lo dispuesto en el artículo 51, inciso a), fracción I, de la Ley General de Partidos Políticos, puesto que no parte de la base mínima para su cuantificación, ni tampoco atiende al procedimiento de repartición equitativa previsto en el </w:t>
      </w:r>
      <w:r w:rsidR="00296159">
        <w:rPr>
          <w:bCs/>
          <w:sz w:val="22"/>
          <w:szCs w:val="22"/>
        </w:rPr>
        <w:t>diverso</w:t>
      </w:r>
      <w:r w:rsidRPr="00F715E7">
        <w:rPr>
          <w:bCs/>
          <w:sz w:val="22"/>
          <w:szCs w:val="22"/>
        </w:rPr>
        <w:t xml:space="preserve"> 41, base II, inciso a), de la Constitución Federal.</w:t>
      </w:r>
    </w:p>
    <w:p w14:paraId="3F263444"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37AFF0A4" w14:textId="475BF4BB"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Por otro lado, el Partido de la Revolución Democrática argument</w:t>
      </w:r>
      <w:r w:rsidR="00AC2A08" w:rsidRPr="00F715E7">
        <w:rPr>
          <w:bCs/>
          <w:sz w:val="22"/>
          <w:szCs w:val="22"/>
        </w:rPr>
        <w:t>ó</w:t>
      </w:r>
      <w:r w:rsidRPr="00F715E7">
        <w:rPr>
          <w:bCs/>
          <w:sz w:val="22"/>
          <w:szCs w:val="22"/>
        </w:rPr>
        <w:t xml:space="preserve"> que las responsables pasaron por alto una restricción que les impedía realizar modificación alguna dentro del proceso electoral, lo que </w:t>
      </w:r>
      <w:r w:rsidR="00AC2A08" w:rsidRPr="00F715E7">
        <w:rPr>
          <w:bCs/>
          <w:sz w:val="22"/>
          <w:szCs w:val="22"/>
        </w:rPr>
        <w:t>ocurrió</w:t>
      </w:r>
      <w:r w:rsidRPr="00F715E7">
        <w:rPr>
          <w:bCs/>
          <w:sz w:val="22"/>
          <w:szCs w:val="22"/>
        </w:rPr>
        <w:t xml:space="preserve"> pues se está dentro de una extensión de</w:t>
      </w:r>
      <w:r w:rsidR="001E46B6" w:rsidRPr="00F715E7">
        <w:rPr>
          <w:bCs/>
          <w:sz w:val="22"/>
          <w:szCs w:val="22"/>
        </w:rPr>
        <w:t>l</w:t>
      </w:r>
      <w:r w:rsidRPr="00F715E7">
        <w:rPr>
          <w:bCs/>
          <w:sz w:val="22"/>
          <w:szCs w:val="22"/>
        </w:rPr>
        <w:t xml:space="preserve"> proceso electoral ordinario 2020-2021, al haberse decretado la nulidad de las elecciones en los municipios de Amatitlán, </w:t>
      </w:r>
      <w:proofErr w:type="spellStart"/>
      <w:r w:rsidRPr="00F715E7">
        <w:rPr>
          <w:bCs/>
          <w:sz w:val="22"/>
          <w:szCs w:val="22"/>
        </w:rPr>
        <w:t>Chiconamel</w:t>
      </w:r>
      <w:proofErr w:type="spellEnd"/>
      <w:r w:rsidRPr="00F715E7">
        <w:rPr>
          <w:bCs/>
          <w:sz w:val="22"/>
          <w:szCs w:val="22"/>
        </w:rPr>
        <w:t xml:space="preserve">, Jesús Carranza y Tlacotepec de Mejía, todos del </w:t>
      </w:r>
      <w:r w:rsidR="00837FA4" w:rsidRPr="00F715E7">
        <w:rPr>
          <w:bCs/>
          <w:sz w:val="22"/>
          <w:szCs w:val="22"/>
        </w:rPr>
        <w:t>E</w:t>
      </w:r>
      <w:r w:rsidRPr="00F715E7">
        <w:rPr>
          <w:bCs/>
          <w:sz w:val="22"/>
          <w:szCs w:val="22"/>
        </w:rPr>
        <w:t>stado de Veracruz.</w:t>
      </w:r>
    </w:p>
    <w:p w14:paraId="73AF988B"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327C0BF3" w14:textId="2247D5FD"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En otro tema, estim</w:t>
      </w:r>
      <w:r w:rsidR="00837FA4" w:rsidRPr="00F715E7">
        <w:rPr>
          <w:bCs/>
          <w:sz w:val="22"/>
          <w:szCs w:val="22"/>
        </w:rPr>
        <w:t>ó</w:t>
      </w:r>
      <w:r w:rsidRPr="00F715E7">
        <w:rPr>
          <w:bCs/>
          <w:sz w:val="22"/>
          <w:szCs w:val="22"/>
        </w:rPr>
        <w:t xml:space="preserve"> que el Congres</w:t>
      </w:r>
      <w:r w:rsidR="00841004" w:rsidRPr="00F715E7">
        <w:rPr>
          <w:bCs/>
          <w:sz w:val="22"/>
          <w:szCs w:val="22"/>
        </w:rPr>
        <w:t>o</w:t>
      </w:r>
      <w:r w:rsidRPr="00F715E7">
        <w:rPr>
          <w:bCs/>
          <w:sz w:val="22"/>
          <w:szCs w:val="22"/>
        </w:rPr>
        <w:t xml:space="preserve"> local durante el proceso legislativo del decreto impugnado refiere de forma falaz que los partidos políticos no se verán afectados pues reciben financiamiento del Instituto Nacional Electoral, lo falso radica en que si bien es cierto cada uno de los partidos políticos recibe ministraciones en el ámbito federal, ello en nada impacta en cada una de las entidades federativas.</w:t>
      </w:r>
    </w:p>
    <w:p w14:paraId="5BE34211"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386A6962" w14:textId="13FEDE8C"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Consider</w:t>
      </w:r>
      <w:r w:rsidR="00837FA4" w:rsidRPr="00F715E7">
        <w:rPr>
          <w:bCs/>
          <w:sz w:val="22"/>
          <w:szCs w:val="22"/>
        </w:rPr>
        <w:t>ó</w:t>
      </w:r>
      <w:r w:rsidRPr="00F715E7">
        <w:rPr>
          <w:bCs/>
          <w:sz w:val="22"/>
          <w:szCs w:val="22"/>
        </w:rPr>
        <w:t xml:space="preserve"> que lo anterior se sostiene pues al menos en materia de fiscalización que implementa el Instituto Nacional Electoral, está demostrado en el caso del</w:t>
      </w:r>
      <w:r w:rsidR="00A77858" w:rsidRPr="00F715E7">
        <w:rPr>
          <w:bCs/>
          <w:sz w:val="22"/>
          <w:szCs w:val="22"/>
        </w:rPr>
        <w:t xml:space="preserve"> </w:t>
      </w:r>
      <w:r w:rsidR="00837FA4" w:rsidRPr="00F715E7">
        <w:rPr>
          <w:bCs/>
          <w:sz w:val="22"/>
          <w:szCs w:val="22"/>
        </w:rPr>
        <w:t>Partido de la Revolución Democrática</w:t>
      </w:r>
      <w:r w:rsidRPr="00F715E7">
        <w:rPr>
          <w:bCs/>
          <w:sz w:val="22"/>
          <w:szCs w:val="22"/>
        </w:rPr>
        <w:t>, que ningún estado recibe dichas aportaciones, es decir, la forma de subsistir es precisamente con el financiamiento local que se recibe, por tanto, resulta totalmente falso que, por el hecho de contar con recursos nacionales, dichos montos se distribuyan a cada uno de los comités estatales.</w:t>
      </w:r>
    </w:p>
    <w:p w14:paraId="65599AF5"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399A9859" w14:textId="766B02CD" w:rsidR="003C3BCD" w:rsidRPr="00F715E7" w:rsidRDefault="005304C1" w:rsidP="0098787A">
      <w:pPr>
        <w:pStyle w:val="Prrafodelista"/>
        <w:widowControl w:val="0"/>
        <w:autoSpaceDE w:val="0"/>
        <w:autoSpaceDN w:val="0"/>
        <w:spacing w:before="0" w:after="0" w:line="240" w:lineRule="auto"/>
        <w:ind w:left="567"/>
        <w:rPr>
          <w:bCs/>
          <w:sz w:val="22"/>
          <w:szCs w:val="22"/>
        </w:rPr>
      </w:pPr>
      <w:r w:rsidRPr="00F715E7">
        <w:rPr>
          <w:bCs/>
          <w:sz w:val="22"/>
          <w:szCs w:val="22"/>
        </w:rPr>
        <w:t>Además</w:t>
      </w:r>
      <w:r w:rsidR="003C3BCD" w:rsidRPr="00F715E7">
        <w:rPr>
          <w:bCs/>
          <w:sz w:val="22"/>
          <w:szCs w:val="22"/>
        </w:rPr>
        <w:t>, el instituto político estim</w:t>
      </w:r>
      <w:r w:rsidR="00837FA4" w:rsidRPr="00F715E7">
        <w:rPr>
          <w:bCs/>
          <w:sz w:val="22"/>
          <w:szCs w:val="22"/>
        </w:rPr>
        <w:t>ó</w:t>
      </w:r>
      <w:r w:rsidR="003C3BCD" w:rsidRPr="00F715E7">
        <w:rPr>
          <w:bCs/>
          <w:sz w:val="22"/>
          <w:szCs w:val="22"/>
        </w:rPr>
        <w:t xml:space="preserve"> que la reducción del financiamiento público a la mitad no cumple con el parámetro de necesidad y, por ende, trastoca el principio democrático de certeza porque disminuir el financiamiento a los partidos políticos en  nada maximiza la eficiencia del gasto público ya que contrario a lo establecido en el artículo 16 de la Ley de Disciplina Financiera de las Entidades Federativas y los </w:t>
      </w:r>
      <w:r w:rsidR="00837FA4" w:rsidRPr="00F715E7">
        <w:rPr>
          <w:bCs/>
          <w:sz w:val="22"/>
          <w:szCs w:val="22"/>
        </w:rPr>
        <w:t>M</w:t>
      </w:r>
      <w:r w:rsidR="003C3BCD" w:rsidRPr="00F715E7">
        <w:rPr>
          <w:bCs/>
          <w:sz w:val="22"/>
          <w:szCs w:val="22"/>
        </w:rPr>
        <w:t>unicipios, ni la iniciativa presentada por el Grupo Legislativo de Morena, ni el dictamen emitido por la Comisión de Justicia y Puntos Constitucionales de la LXV Legislatura del Congreso del Estado, sustentan con estimaciones de impacto presupuestario respecto de los costos y beneficios sobre la disminución del financiamiento público ordinario para los partidos políticos locales.</w:t>
      </w:r>
    </w:p>
    <w:p w14:paraId="7AD36505"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AD77717" w14:textId="58AF0F53" w:rsidR="003C3BCD" w:rsidRPr="00F715E7" w:rsidRDefault="006D713A"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Consideró </w:t>
      </w:r>
      <w:r w:rsidR="003C3BCD" w:rsidRPr="00F715E7">
        <w:rPr>
          <w:bCs/>
          <w:sz w:val="22"/>
          <w:szCs w:val="22"/>
        </w:rPr>
        <w:t>que se violan a los artículos 14, 16 y 17 de la Constitución Federal, a la luz de lo decidido en las acciones de inconstitucionalidad 126/2019 y 129/2019, en donde el Pleno de la Suprema Corte</w:t>
      </w:r>
      <w:r w:rsidR="00615C2E" w:rsidRPr="00F715E7">
        <w:rPr>
          <w:bCs/>
          <w:sz w:val="22"/>
          <w:szCs w:val="22"/>
        </w:rPr>
        <w:t xml:space="preserve"> de Justicia de la Nación</w:t>
      </w:r>
      <w:r w:rsidR="003C3BCD" w:rsidRPr="00F715E7">
        <w:rPr>
          <w:bCs/>
          <w:sz w:val="22"/>
          <w:szCs w:val="22"/>
        </w:rPr>
        <w:t xml:space="preserve"> sostuvo que dentro de su libertad de configuración </w:t>
      </w:r>
      <w:r w:rsidR="001E7DAD" w:rsidRPr="00F715E7">
        <w:rPr>
          <w:bCs/>
          <w:sz w:val="22"/>
          <w:szCs w:val="22"/>
        </w:rPr>
        <w:t>el</w:t>
      </w:r>
      <w:r w:rsidR="003C3BCD" w:rsidRPr="00F715E7">
        <w:rPr>
          <w:bCs/>
          <w:sz w:val="22"/>
          <w:szCs w:val="22"/>
        </w:rPr>
        <w:t xml:space="preserve"> legislador </w:t>
      </w:r>
      <w:r w:rsidR="001E7DAD" w:rsidRPr="00F715E7">
        <w:rPr>
          <w:bCs/>
          <w:sz w:val="22"/>
          <w:szCs w:val="22"/>
        </w:rPr>
        <w:t>del</w:t>
      </w:r>
      <w:r w:rsidR="003C3BCD" w:rsidRPr="00F715E7">
        <w:rPr>
          <w:bCs/>
          <w:sz w:val="22"/>
          <w:szCs w:val="22"/>
        </w:rPr>
        <w:t xml:space="preserve"> Estado de Tabasco podía establecer un financiamiento estatal diferenciado (se aparta de las bases establecidas en la Ley General de Partidos Políticos) que debe ser equitativo más no igualitario, pues en el caso de Veracruz se estableció un trato desigual inequitativo.</w:t>
      </w:r>
    </w:p>
    <w:p w14:paraId="57007403"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476F7BF1" w14:textId="49B7782F"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El trato se consider</w:t>
      </w:r>
      <w:r w:rsidR="00E30BAD" w:rsidRPr="00F715E7">
        <w:rPr>
          <w:bCs/>
          <w:sz w:val="22"/>
          <w:szCs w:val="22"/>
        </w:rPr>
        <w:t>ó</w:t>
      </w:r>
      <w:r w:rsidRPr="00F715E7">
        <w:rPr>
          <w:bCs/>
          <w:sz w:val="22"/>
          <w:szCs w:val="22"/>
        </w:rPr>
        <w:t xml:space="preserve"> inequitativo porque no se está frente a partidos políticos locales que tengan años de vigencia en la vida democrática de la entidad aunado a que, con ese esquema en lugar de reducir el financiamiento total destinado a los partidos políticos, el mismo se verá aumentado de manera desproporcionada siendo que la base la iniciativa del decreto impugnado fue el tema de la austeridad en el manejo de recursos públicos.</w:t>
      </w:r>
    </w:p>
    <w:p w14:paraId="1AF2B920"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CB4BBAB" w14:textId="69FCF77B"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También, el instituto político accionante consider</w:t>
      </w:r>
      <w:r w:rsidR="00E30BAD" w:rsidRPr="00F715E7">
        <w:rPr>
          <w:bCs/>
          <w:sz w:val="22"/>
          <w:szCs w:val="22"/>
        </w:rPr>
        <w:t>ó</w:t>
      </w:r>
      <w:r w:rsidRPr="00F715E7">
        <w:rPr>
          <w:bCs/>
          <w:sz w:val="22"/>
          <w:szCs w:val="22"/>
        </w:rPr>
        <w:t xml:space="preserve"> que al momento de aprobar la reforma impugnada y al emitir el acuerdo OPLEV/CG006/2022 </w:t>
      </w:r>
      <w:r w:rsidR="00A77858" w:rsidRPr="00F715E7">
        <w:rPr>
          <w:bCs/>
          <w:sz w:val="22"/>
          <w:szCs w:val="22"/>
        </w:rPr>
        <w:t xml:space="preserve">por el que se determinan las cifras y la distribución del financiamiento público que corresponden a las organizaciones políticas para el ejercicio 2022, de conformidad con los artículos 50 (reformado) y 51 del </w:t>
      </w:r>
      <w:r w:rsidR="00E30BAD" w:rsidRPr="00F715E7">
        <w:rPr>
          <w:bCs/>
          <w:sz w:val="22"/>
          <w:szCs w:val="22"/>
        </w:rPr>
        <w:t>C</w:t>
      </w:r>
      <w:r w:rsidR="00A77858" w:rsidRPr="00F715E7">
        <w:rPr>
          <w:bCs/>
          <w:sz w:val="22"/>
          <w:szCs w:val="22"/>
        </w:rPr>
        <w:t xml:space="preserve">ódigo número 577 </w:t>
      </w:r>
      <w:r w:rsidR="00E30BAD" w:rsidRPr="00F715E7">
        <w:rPr>
          <w:bCs/>
          <w:sz w:val="22"/>
          <w:szCs w:val="22"/>
        </w:rPr>
        <w:t>E</w:t>
      </w:r>
      <w:r w:rsidR="00A77858" w:rsidRPr="00F715E7">
        <w:rPr>
          <w:bCs/>
          <w:sz w:val="22"/>
          <w:szCs w:val="22"/>
        </w:rPr>
        <w:t xml:space="preserve">lectoral para el </w:t>
      </w:r>
      <w:r w:rsidR="00E30BAD" w:rsidRPr="00F715E7">
        <w:rPr>
          <w:bCs/>
          <w:sz w:val="22"/>
          <w:szCs w:val="22"/>
        </w:rPr>
        <w:t>E</w:t>
      </w:r>
      <w:r w:rsidR="00A77858" w:rsidRPr="00F715E7">
        <w:rPr>
          <w:bCs/>
          <w:sz w:val="22"/>
          <w:szCs w:val="22"/>
        </w:rPr>
        <w:t>stado de Veracruz de Ignacio de la Llave</w:t>
      </w:r>
      <w:r w:rsidRPr="00F715E7">
        <w:rPr>
          <w:bCs/>
          <w:sz w:val="22"/>
          <w:szCs w:val="22"/>
        </w:rPr>
        <w:t xml:space="preserve">, no se establecieron reglas claras y precisas en contravención al </w:t>
      </w:r>
      <w:r w:rsidR="00296159">
        <w:rPr>
          <w:bCs/>
          <w:sz w:val="22"/>
          <w:szCs w:val="22"/>
        </w:rPr>
        <w:t>diverso</w:t>
      </w:r>
      <w:r w:rsidRPr="00F715E7">
        <w:rPr>
          <w:bCs/>
          <w:sz w:val="22"/>
          <w:szCs w:val="22"/>
        </w:rPr>
        <w:t xml:space="preserve"> 41 de la Constitución Federal, así como lo establecido en el </w:t>
      </w:r>
      <w:r w:rsidR="00296159">
        <w:rPr>
          <w:bCs/>
          <w:sz w:val="22"/>
          <w:szCs w:val="22"/>
        </w:rPr>
        <w:t>numeral</w:t>
      </w:r>
      <w:r w:rsidRPr="00F715E7">
        <w:rPr>
          <w:bCs/>
          <w:sz w:val="22"/>
          <w:szCs w:val="22"/>
        </w:rPr>
        <w:t xml:space="preserve"> 19 de la Constitución local.</w:t>
      </w:r>
    </w:p>
    <w:p w14:paraId="6C906E0E"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7BDAEE51" w14:textId="5DDF9D6C" w:rsidR="003C3BCD" w:rsidRPr="00F715E7" w:rsidRDefault="006D713A" w:rsidP="0098787A">
      <w:pPr>
        <w:pStyle w:val="Prrafodelista"/>
        <w:widowControl w:val="0"/>
        <w:autoSpaceDE w:val="0"/>
        <w:autoSpaceDN w:val="0"/>
        <w:spacing w:before="0" w:after="0" w:line="240" w:lineRule="auto"/>
        <w:ind w:left="567"/>
        <w:rPr>
          <w:bCs/>
          <w:sz w:val="22"/>
          <w:szCs w:val="22"/>
        </w:rPr>
      </w:pPr>
      <w:r w:rsidRPr="00F715E7">
        <w:rPr>
          <w:bCs/>
          <w:sz w:val="22"/>
          <w:szCs w:val="22"/>
        </w:rPr>
        <w:t>Señaló que</w:t>
      </w:r>
      <w:r w:rsidR="003C3BCD" w:rsidRPr="00F715E7">
        <w:rPr>
          <w:bCs/>
          <w:sz w:val="22"/>
          <w:szCs w:val="22"/>
        </w:rPr>
        <w:t xml:space="preserve"> la relación entre porcentaje de votación respecto del financiamiento obtenido entre un partido local respecto de uno nacional no guarda congruencia, pues uno local recibe mayor beneficio aun cuando haya obtenido menor porcentaje de votación, es decir, que no se ve obligado más allá de obtener resultados sino solo a conservar el registro para tener mayores beneficios, lo cual resulta contrario a los principios democráticos y de toda contienda electoral.</w:t>
      </w:r>
    </w:p>
    <w:p w14:paraId="18F59489"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0501008" w14:textId="3E46C61D"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Finalmente, el Partido de la Revolución Democrática solicit</w:t>
      </w:r>
      <w:r w:rsidR="00E30BAD" w:rsidRPr="00F715E7">
        <w:rPr>
          <w:bCs/>
          <w:sz w:val="22"/>
          <w:szCs w:val="22"/>
        </w:rPr>
        <w:t>ó</w:t>
      </w:r>
      <w:r w:rsidRPr="00F715E7">
        <w:rPr>
          <w:bCs/>
          <w:sz w:val="22"/>
          <w:szCs w:val="22"/>
        </w:rPr>
        <w:t xml:space="preserve"> que en caso de que se estime que esta causa de pedir es </w:t>
      </w:r>
      <w:r w:rsidR="009F2211" w:rsidRPr="00F715E7">
        <w:rPr>
          <w:bCs/>
          <w:sz w:val="22"/>
          <w:szCs w:val="22"/>
        </w:rPr>
        <w:t>i</w:t>
      </w:r>
      <w:r w:rsidRPr="00F715E7">
        <w:rPr>
          <w:bCs/>
          <w:sz w:val="22"/>
          <w:szCs w:val="22"/>
        </w:rPr>
        <w:t>nsuficiente para invalidar las normas que se combaten,</w:t>
      </w:r>
      <w:r w:rsidR="00E30BAD" w:rsidRPr="00F715E7">
        <w:rPr>
          <w:bCs/>
          <w:sz w:val="22"/>
          <w:szCs w:val="22"/>
        </w:rPr>
        <w:t xml:space="preserve"> </w:t>
      </w:r>
      <w:r w:rsidRPr="00F715E7">
        <w:rPr>
          <w:bCs/>
          <w:sz w:val="22"/>
          <w:szCs w:val="22"/>
        </w:rPr>
        <w:t>se tenga a bien realizar una interpretación conforme de las disposiciones que se cuestionan, a efecto de que las normas se interpreten en el sentido de que las limitaciones y prohibiciones no signifiquen menoscabo alguno a la libertad, pluralidad y democracia.</w:t>
      </w:r>
    </w:p>
    <w:p w14:paraId="3A83C897"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CB31FD8" w14:textId="28AF246B" w:rsidR="003C3BCD" w:rsidRPr="00F715E7" w:rsidRDefault="00C24B0F" w:rsidP="001E1EF8">
      <w:pPr>
        <w:pStyle w:val="Estilo1"/>
        <w:numPr>
          <w:ilvl w:val="0"/>
          <w:numId w:val="0"/>
        </w:numPr>
        <w:spacing w:before="0" w:after="0"/>
        <w:ind w:left="567"/>
        <w:rPr>
          <w:b/>
          <w:sz w:val="22"/>
          <w:szCs w:val="22"/>
        </w:rPr>
      </w:pPr>
      <w:bookmarkStart w:id="10" w:name="_Hlk100227265"/>
      <w:r w:rsidRPr="00F715E7">
        <w:rPr>
          <w:b/>
          <w:sz w:val="22"/>
          <w:szCs w:val="22"/>
        </w:rPr>
        <w:t>IV</w:t>
      </w:r>
      <w:r w:rsidR="003C3BCD" w:rsidRPr="00F715E7">
        <w:rPr>
          <w:b/>
          <w:sz w:val="22"/>
          <w:szCs w:val="22"/>
        </w:rPr>
        <w:t>. Acción de inconstitucionalidad 16/2022 (Partido Acción Nacional)</w:t>
      </w:r>
      <w:r w:rsidR="00296159">
        <w:rPr>
          <w:b/>
          <w:sz w:val="22"/>
          <w:szCs w:val="22"/>
        </w:rPr>
        <w:t>.</w:t>
      </w:r>
    </w:p>
    <w:bookmarkEnd w:id="10"/>
    <w:p w14:paraId="5A1F1FBA" w14:textId="77777777" w:rsidR="001D0F6F" w:rsidRPr="00F715E7" w:rsidRDefault="001D0F6F" w:rsidP="0098787A">
      <w:pPr>
        <w:pStyle w:val="Estilo1"/>
        <w:numPr>
          <w:ilvl w:val="0"/>
          <w:numId w:val="0"/>
        </w:numPr>
        <w:spacing w:before="0" w:after="0"/>
        <w:ind w:left="567"/>
        <w:rPr>
          <w:b/>
          <w:sz w:val="22"/>
          <w:szCs w:val="22"/>
        </w:rPr>
      </w:pPr>
    </w:p>
    <w:p w14:paraId="2ED99D40" w14:textId="6214E493" w:rsidR="003C3BCD" w:rsidRPr="00F715E7" w:rsidRDefault="003C3BCD" w:rsidP="001E1EF8">
      <w:pPr>
        <w:pStyle w:val="Estilo1"/>
        <w:numPr>
          <w:ilvl w:val="0"/>
          <w:numId w:val="0"/>
        </w:numPr>
        <w:spacing w:before="0" w:after="0"/>
        <w:ind w:left="567"/>
        <w:rPr>
          <w:b/>
          <w:sz w:val="22"/>
          <w:szCs w:val="22"/>
        </w:rPr>
      </w:pPr>
      <w:r w:rsidRPr="00F715E7">
        <w:rPr>
          <w:b/>
          <w:sz w:val="22"/>
          <w:szCs w:val="22"/>
        </w:rPr>
        <w:t>a. Primer concepto de invalidez</w:t>
      </w:r>
      <w:r w:rsidR="00296159">
        <w:rPr>
          <w:b/>
          <w:sz w:val="22"/>
          <w:szCs w:val="22"/>
        </w:rPr>
        <w:t>.</w:t>
      </w:r>
    </w:p>
    <w:p w14:paraId="6D727CC9" w14:textId="0EA250FA"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r w:rsidRPr="00F715E7">
        <w:rPr>
          <w:rFonts w:eastAsia="Arial"/>
          <w:sz w:val="22"/>
          <w:szCs w:val="22"/>
          <w:lang w:eastAsia="es-MX" w:bidi="es-MX"/>
        </w:rPr>
        <w:t xml:space="preserve">En su primer concepto de invalidez, </w:t>
      </w:r>
      <w:r w:rsidR="00E30BAD" w:rsidRPr="00F715E7">
        <w:rPr>
          <w:rFonts w:eastAsia="Arial"/>
          <w:sz w:val="22"/>
          <w:szCs w:val="22"/>
          <w:lang w:eastAsia="es-MX" w:bidi="es-MX"/>
        </w:rPr>
        <w:t>el partido político señaló</w:t>
      </w:r>
      <w:r w:rsidRPr="00F715E7">
        <w:rPr>
          <w:rFonts w:eastAsia="Arial"/>
          <w:sz w:val="22"/>
          <w:szCs w:val="22"/>
          <w:lang w:eastAsia="es-MX" w:bidi="es-MX"/>
        </w:rPr>
        <w:t xml:space="preserve"> que en contravención a lo dispuesto en el tercer y cuarto párrafo</w:t>
      </w:r>
      <w:r w:rsidR="001E7DAD" w:rsidRPr="00F715E7">
        <w:rPr>
          <w:rFonts w:eastAsia="Arial"/>
          <w:sz w:val="22"/>
          <w:szCs w:val="22"/>
          <w:lang w:eastAsia="es-MX" w:bidi="es-MX"/>
        </w:rPr>
        <w:t>,</w:t>
      </w:r>
      <w:r w:rsidRPr="00F715E7">
        <w:rPr>
          <w:rFonts w:eastAsia="Arial"/>
          <w:sz w:val="22"/>
          <w:szCs w:val="22"/>
          <w:lang w:eastAsia="es-MX" w:bidi="es-MX"/>
        </w:rPr>
        <w:t xml:space="preserve"> fracción II</w:t>
      </w:r>
      <w:r w:rsidR="001E7DAD" w:rsidRPr="00F715E7">
        <w:rPr>
          <w:rFonts w:eastAsia="Arial"/>
          <w:sz w:val="22"/>
          <w:szCs w:val="22"/>
          <w:lang w:eastAsia="es-MX" w:bidi="es-MX"/>
        </w:rPr>
        <w:t>,</w:t>
      </w:r>
      <w:r w:rsidRPr="00F715E7">
        <w:rPr>
          <w:rFonts w:eastAsia="Arial"/>
          <w:sz w:val="22"/>
          <w:szCs w:val="22"/>
          <w:lang w:eastAsia="es-MX" w:bidi="es-MX"/>
        </w:rPr>
        <w:t xml:space="preserve"> del artículo 105 de la Constitución Federal (relacionado con la veda electoral), no se está respetando el alcance de los efectos de la sentencia emitida dentro de la acción de inconstitucionalidad 241/2020 y sus acumuladas</w:t>
      </w:r>
      <w:r w:rsidR="00E30BAD" w:rsidRPr="00F715E7">
        <w:rPr>
          <w:rFonts w:eastAsia="Arial"/>
          <w:sz w:val="22"/>
          <w:szCs w:val="22"/>
          <w:lang w:eastAsia="es-MX" w:bidi="es-MX"/>
        </w:rPr>
        <w:t>,</w:t>
      </w:r>
      <w:r w:rsidRPr="00F715E7">
        <w:rPr>
          <w:rFonts w:eastAsia="Arial"/>
          <w:sz w:val="22"/>
          <w:szCs w:val="22"/>
          <w:lang w:eastAsia="es-MX" w:bidi="es-MX"/>
        </w:rPr>
        <w:t xml:space="preserve"> respecto del Código Electoral local, la reviviscencia de la norma local electoral previa a la expedición del Decreto 580 y la orden de no poder modificar la legislación electoral local durante el proceso electoral.</w:t>
      </w:r>
    </w:p>
    <w:p w14:paraId="5C2A115F" w14:textId="77777777"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p>
    <w:p w14:paraId="54E94825" w14:textId="006118E9"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r w:rsidRPr="00F715E7">
        <w:rPr>
          <w:bCs/>
          <w:sz w:val="22"/>
          <w:szCs w:val="22"/>
        </w:rPr>
        <w:t xml:space="preserve">Ello porque el proceso electoral local en el </w:t>
      </w:r>
      <w:r w:rsidR="00E30BAD" w:rsidRPr="00F715E7">
        <w:rPr>
          <w:bCs/>
          <w:sz w:val="22"/>
          <w:szCs w:val="22"/>
        </w:rPr>
        <w:t>E</w:t>
      </w:r>
      <w:r w:rsidRPr="00F715E7">
        <w:rPr>
          <w:bCs/>
          <w:sz w:val="22"/>
          <w:szCs w:val="22"/>
        </w:rPr>
        <w:t xml:space="preserve">stado de Veracruz no </w:t>
      </w:r>
      <w:r w:rsidR="00E30BAD" w:rsidRPr="00F715E7">
        <w:rPr>
          <w:bCs/>
          <w:sz w:val="22"/>
          <w:szCs w:val="22"/>
        </w:rPr>
        <w:t>había concluido,</w:t>
      </w:r>
      <w:r w:rsidRPr="00F715E7">
        <w:rPr>
          <w:bCs/>
          <w:sz w:val="22"/>
          <w:szCs w:val="22"/>
        </w:rPr>
        <w:t xml:space="preserve"> dado que la </w:t>
      </w:r>
      <w:r w:rsidRPr="00F715E7">
        <w:rPr>
          <w:rFonts w:eastAsia="Arial"/>
          <w:sz w:val="22"/>
          <w:szCs w:val="22"/>
          <w:lang w:eastAsia="es-MX" w:bidi="es-MX"/>
        </w:rPr>
        <w:t xml:space="preserve">cadena impugnativa aún se </w:t>
      </w:r>
      <w:r w:rsidR="00E30BAD" w:rsidRPr="00F715E7">
        <w:rPr>
          <w:rFonts w:eastAsia="Arial"/>
          <w:sz w:val="22"/>
          <w:szCs w:val="22"/>
          <w:lang w:eastAsia="es-MX" w:bidi="es-MX"/>
        </w:rPr>
        <w:t>encontraba</w:t>
      </w:r>
      <w:r w:rsidRPr="00F715E7">
        <w:rPr>
          <w:rFonts w:eastAsia="Arial"/>
          <w:sz w:val="22"/>
          <w:szCs w:val="22"/>
          <w:lang w:eastAsia="es-MX" w:bidi="es-MX"/>
        </w:rPr>
        <w:t xml:space="preserve"> en proceso y no se </w:t>
      </w:r>
      <w:r w:rsidR="00E30BAD" w:rsidRPr="00F715E7">
        <w:rPr>
          <w:rFonts w:eastAsia="Arial"/>
          <w:sz w:val="22"/>
          <w:szCs w:val="22"/>
          <w:lang w:eastAsia="es-MX" w:bidi="es-MX"/>
        </w:rPr>
        <w:t>habían</w:t>
      </w:r>
      <w:r w:rsidRPr="00F715E7">
        <w:rPr>
          <w:rFonts w:eastAsia="Arial"/>
          <w:sz w:val="22"/>
          <w:szCs w:val="22"/>
          <w:lang w:eastAsia="es-MX" w:bidi="es-MX"/>
        </w:rPr>
        <w:t xml:space="preserve"> resuelto todos los asuntos relativos a las elecciones municipales, </w:t>
      </w:r>
      <w:r w:rsidR="00E30BAD" w:rsidRPr="00F715E7">
        <w:rPr>
          <w:rFonts w:eastAsia="Arial"/>
          <w:sz w:val="22"/>
          <w:szCs w:val="22"/>
          <w:lang w:eastAsia="es-MX" w:bidi="es-MX"/>
        </w:rPr>
        <w:t>asimismo, se habían</w:t>
      </w:r>
      <w:r w:rsidRPr="00F715E7">
        <w:rPr>
          <w:rFonts w:eastAsia="Arial"/>
          <w:sz w:val="22"/>
          <w:szCs w:val="22"/>
          <w:lang w:eastAsia="es-MX" w:bidi="es-MX"/>
        </w:rPr>
        <w:t xml:space="preserve"> emitido Puntos de Acuerdo en los que se nombran Concejos Municipales y convocatorias a Elecciones Extraordinarias en los Municipios de Jesús Carranza, Amatitlán, </w:t>
      </w:r>
      <w:proofErr w:type="spellStart"/>
      <w:r w:rsidRPr="00F715E7">
        <w:rPr>
          <w:rFonts w:eastAsia="Arial"/>
          <w:sz w:val="22"/>
          <w:szCs w:val="22"/>
          <w:lang w:eastAsia="es-MX" w:bidi="es-MX"/>
        </w:rPr>
        <w:t>Chiconamel</w:t>
      </w:r>
      <w:proofErr w:type="spellEnd"/>
      <w:r w:rsidRPr="00F715E7">
        <w:rPr>
          <w:rFonts w:eastAsia="Arial"/>
          <w:sz w:val="22"/>
          <w:szCs w:val="22"/>
          <w:lang w:eastAsia="es-MX" w:bidi="es-MX"/>
        </w:rPr>
        <w:t xml:space="preserve"> y Tlacotepec de Mejía.</w:t>
      </w:r>
    </w:p>
    <w:p w14:paraId="14819D18" w14:textId="77777777" w:rsidR="003C3BCD" w:rsidRPr="00F715E7" w:rsidRDefault="003C3BCD" w:rsidP="0098787A">
      <w:pPr>
        <w:pStyle w:val="Prrafodelista"/>
        <w:widowControl w:val="0"/>
        <w:autoSpaceDE w:val="0"/>
        <w:autoSpaceDN w:val="0"/>
        <w:spacing w:before="0" w:after="0" w:line="240" w:lineRule="auto"/>
        <w:ind w:left="567"/>
        <w:rPr>
          <w:rFonts w:eastAsia="Arial"/>
          <w:sz w:val="22"/>
          <w:szCs w:val="22"/>
          <w:lang w:eastAsia="es-MX" w:bidi="es-MX"/>
        </w:rPr>
      </w:pPr>
    </w:p>
    <w:p w14:paraId="4B74598A" w14:textId="6F4DDB74"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Por otro lado, consider</w:t>
      </w:r>
      <w:r w:rsidR="00E30BAD" w:rsidRPr="00F715E7">
        <w:rPr>
          <w:bCs/>
          <w:sz w:val="22"/>
          <w:szCs w:val="22"/>
        </w:rPr>
        <w:t>ó</w:t>
      </w:r>
      <w:r w:rsidRPr="00F715E7">
        <w:rPr>
          <w:bCs/>
          <w:sz w:val="22"/>
          <w:szCs w:val="22"/>
        </w:rPr>
        <w:t xml:space="preserve"> que no es suficiente para dar validez a la reforma que en el artículo </w:t>
      </w:r>
      <w:r w:rsidR="001E7DAD" w:rsidRPr="00F715E7">
        <w:rPr>
          <w:bCs/>
          <w:sz w:val="22"/>
          <w:szCs w:val="22"/>
        </w:rPr>
        <w:t>t</w:t>
      </w:r>
      <w:r w:rsidRPr="00F715E7">
        <w:rPr>
          <w:bCs/>
          <w:sz w:val="22"/>
          <w:szCs w:val="22"/>
        </w:rPr>
        <w:t>ransitorio Segundo del decreto impugnado se establezca que las disposiciones entrar</w:t>
      </w:r>
      <w:r w:rsidR="00E30BAD" w:rsidRPr="00F715E7">
        <w:rPr>
          <w:bCs/>
          <w:sz w:val="22"/>
          <w:szCs w:val="22"/>
        </w:rPr>
        <w:t>ían</w:t>
      </w:r>
      <w:r w:rsidRPr="00F715E7">
        <w:rPr>
          <w:bCs/>
          <w:sz w:val="22"/>
          <w:szCs w:val="22"/>
        </w:rPr>
        <w:t xml:space="preserve"> en vigor el día primero </w:t>
      </w:r>
      <w:r w:rsidR="00E30BAD" w:rsidRPr="00F715E7">
        <w:rPr>
          <w:bCs/>
          <w:sz w:val="22"/>
          <w:szCs w:val="22"/>
        </w:rPr>
        <w:t xml:space="preserve">de enero </w:t>
      </w:r>
      <w:r w:rsidRPr="00F715E7">
        <w:rPr>
          <w:bCs/>
          <w:sz w:val="22"/>
          <w:szCs w:val="22"/>
        </w:rPr>
        <w:t>del año dos mil veintidós</w:t>
      </w:r>
      <w:r w:rsidR="00E30BAD" w:rsidRPr="00F715E7">
        <w:rPr>
          <w:bCs/>
          <w:sz w:val="22"/>
          <w:szCs w:val="22"/>
        </w:rPr>
        <w:t>,</w:t>
      </w:r>
      <w:r w:rsidRPr="00F715E7">
        <w:rPr>
          <w:bCs/>
          <w:sz w:val="22"/>
          <w:szCs w:val="22"/>
        </w:rPr>
        <w:t xml:space="preserve"> porque el proceso electoral local no ha</w:t>
      </w:r>
      <w:r w:rsidR="00E30BAD" w:rsidRPr="00F715E7">
        <w:rPr>
          <w:bCs/>
          <w:sz w:val="22"/>
          <w:szCs w:val="22"/>
        </w:rPr>
        <w:t>bía</w:t>
      </w:r>
      <w:r w:rsidRPr="00F715E7">
        <w:rPr>
          <w:bCs/>
          <w:sz w:val="22"/>
          <w:szCs w:val="22"/>
        </w:rPr>
        <w:t xml:space="preserve"> terminado</w:t>
      </w:r>
      <w:r w:rsidR="00E30BAD" w:rsidRPr="00F715E7">
        <w:rPr>
          <w:bCs/>
          <w:sz w:val="22"/>
          <w:szCs w:val="22"/>
        </w:rPr>
        <w:t>.</w:t>
      </w:r>
    </w:p>
    <w:p w14:paraId="499BE956"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7D5358C9" w14:textId="11612673" w:rsidR="003C3BCD" w:rsidRPr="00F715E7" w:rsidRDefault="003C3BCD" w:rsidP="0098787A">
      <w:pPr>
        <w:pStyle w:val="Prrafodelista"/>
        <w:widowControl w:val="0"/>
        <w:autoSpaceDE w:val="0"/>
        <w:autoSpaceDN w:val="0"/>
        <w:spacing w:before="0" w:after="0" w:line="240" w:lineRule="auto"/>
        <w:ind w:left="567"/>
        <w:rPr>
          <w:b/>
          <w:sz w:val="22"/>
          <w:szCs w:val="22"/>
        </w:rPr>
      </w:pPr>
      <w:r w:rsidRPr="00F715E7">
        <w:rPr>
          <w:b/>
          <w:sz w:val="22"/>
          <w:szCs w:val="22"/>
        </w:rPr>
        <w:t xml:space="preserve">b. Segundo </w:t>
      </w:r>
      <w:r w:rsidR="0011121B" w:rsidRPr="00F715E7">
        <w:rPr>
          <w:b/>
          <w:sz w:val="22"/>
          <w:szCs w:val="22"/>
        </w:rPr>
        <w:t>c</w:t>
      </w:r>
      <w:r w:rsidRPr="00F715E7">
        <w:rPr>
          <w:b/>
          <w:sz w:val="22"/>
          <w:szCs w:val="22"/>
        </w:rPr>
        <w:t>oncepto de invalidez</w:t>
      </w:r>
      <w:r w:rsidR="00CB5CF8" w:rsidRPr="00F715E7">
        <w:rPr>
          <w:b/>
          <w:sz w:val="22"/>
          <w:szCs w:val="22"/>
        </w:rPr>
        <w:t>.</w:t>
      </w:r>
    </w:p>
    <w:p w14:paraId="01822157" w14:textId="77777777" w:rsidR="003C3BCD" w:rsidRPr="00F715E7" w:rsidRDefault="003C3BCD" w:rsidP="0098787A">
      <w:pPr>
        <w:pStyle w:val="Prrafodelista"/>
        <w:widowControl w:val="0"/>
        <w:autoSpaceDE w:val="0"/>
        <w:autoSpaceDN w:val="0"/>
        <w:spacing w:before="0" w:after="0" w:line="240" w:lineRule="auto"/>
        <w:ind w:left="567"/>
        <w:rPr>
          <w:b/>
          <w:sz w:val="22"/>
          <w:szCs w:val="22"/>
        </w:rPr>
      </w:pPr>
    </w:p>
    <w:p w14:paraId="7845C611" w14:textId="27984499"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El Decreto impugnado no fue promulgado en el plazo para su implementación a nivel local, conforme a lo establecido en el artículo 105, fracción II, párrafo tercero, de la Constitución Federal, el cual establece una prohibición para legislar en materia electoral noventa días antes del proceso </w:t>
      </w:r>
      <w:r w:rsidR="001D0F6F" w:rsidRPr="00F715E7">
        <w:rPr>
          <w:bCs/>
          <w:sz w:val="22"/>
          <w:szCs w:val="22"/>
        </w:rPr>
        <w:t>respectivo.</w:t>
      </w:r>
      <w:r w:rsidRPr="00F715E7">
        <w:rPr>
          <w:bCs/>
          <w:sz w:val="22"/>
          <w:szCs w:val="22"/>
        </w:rPr>
        <w:t xml:space="preserve"> </w:t>
      </w:r>
      <w:r w:rsidR="001D0F6F" w:rsidRPr="00F715E7">
        <w:rPr>
          <w:bCs/>
          <w:sz w:val="22"/>
          <w:szCs w:val="22"/>
        </w:rPr>
        <w:t>Ello</w:t>
      </w:r>
      <w:r w:rsidRPr="00F715E7">
        <w:rPr>
          <w:bCs/>
          <w:sz w:val="22"/>
          <w:szCs w:val="22"/>
        </w:rPr>
        <w:t xml:space="preserve"> se traduce en una prohibición legislativa para realizar alguna reforma o modificación sustancial a las normadas electorales, en el caso específico incluso, a partir de lo resuelto en la </w:t>
      </w:r>
      <w:r w:rsidR="00910B64" w:rsidRPr="00F715E7">
        <w:rPr>
          <w:bCs/>
          <w:sz w:val="22"/>
          <w:szCs w:val="22"/>
        </w:rPr>
        <w:t>a</w:t>
      </w:r>
      <w:r w:rsidRPr="00F715E7">
        <w:rPr>
          <w:bCs/>
          <w:sz w:val="22"/>
          <w:szCs w:val="22"/>
        </w:rPr>
        <w:t>cción de inconstitucionalidad 241/2020 y acumuladas, esa prohibición se extiende hasta el año siguiente a la conclusión del proceso electoral 2020-2021.</w:t>
      </w:r>
    </w:p>
    <w:p w14:paraId="27CC749D"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9A26268" w14:textId="594974C2"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Añad</w:t>
      </w:r>
      <w:r w:rsidR="00910B64" w:rsidRPr="00F715E7">
        <w:rPr>
          <w:bCs/>
          <w:sz w:val="22"/>
          <w:szCs w:val="22"/>
        </w:rPr>
        <w:t>ió</w:t>
      </w:r>
      <w:r w:rsidRPr="00F715E7">
        <w:rPr>
          <w:bCs/>
          <w:sz w:val="22"/>
          <w:szCs w:val="22"/>
        </w:rPr>
        <w:t xml:space="preserve"> que las bases y forma de otorgamiento del financiamiento público se encuentra regulado en un precepto que la Suprema Corte</w:t>
      </w:r>
      <w:r w:rsidR="00910B64" w:rsidRPr="00F715E7">
        <w:rPr>
          <w:bCs/>
          <w:sz w:val="22"/>
          <w:szCs w:val="22"/>
        </w:rPr>
        <w:t xml:space="preserve"> de Justicia de la Nación</w:t>
      </w:r>
      <w:r w:rsidRPr="00F715E7">
        <w:rPr>
          <w:bCs/>
          <w:sz w:val="22"/>
          <w:szCs w:val="22"/>
        </w:rPr>
        <w:t xml:space="preserve"> orden</w:t>
      </w:r>
      <w:r w:rsidR="008670EF" w:rsidRPr="00F715E7">
        <w:rPr>
          <w:bCs/>
          <w:sz w:val="22"/>
          <w:szCs w:val="22"/>
        </w:rPr>
        <w:t>ó</w:t>
      </w:r>
      <w:r w:rsidRPr="00F715E7">
        <w:rPr>
          <w:bCs/>
          <w:sz w:val="22"/>
          <w:szCs w:val="22"/>
        </w:rPr>
        <w:t xml:space="preserve"> debía seguir vigente hasta la conclusión del proceso electoral, por lo que todos los partidos políticos nacionales y locales debidamente registrados en la entidad sabían la forma en que se otorgaría dicha prerrogativa en el año 2022, bajo las reglas constitucionales y legales previamente establecidas, con lo que se cumpliría y salvaguardaría el principio de certeza en materia electoral, el cual garantiza que todos los participantes en el proceso electoral conozcan previamente con claridad y seguridad las reglas a </w:t>
      </w:r>
      <w:r w:rsidR="00372494" w:rsidRPr="00F715E7">
        <w:rPr>
          <w:bCs/>
          <w:sz w:val="22"/>
          <w:szCs w:val="22"/>
        </w:rPr>
        <w:t>las que la</w:t>
      </w:r>
      <w:r w:rsidRPr="00F715E7">
        <w:rPr>
          <w:bCs/>
          <w:sz w:val="22"/>
          <w:szCs w:val="22"/>
        </w:rPr>
        <w:t xml:space="preserve"> actuación de las autoridades electorales está sujeta.</w:t>
      </w:r>
    </w:p>
    <w:p w14:paraId="15A6128A"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F21FB0C" w14:textId="77777777" w:rsidR="003C3BCD" w:rsidRPr="00F715E7" w:rsidRDefault="003C3BCD" w:rsidP="0098787A">
      <w:pPr>
        <w:pStyle w:val="Prrafodelista"/>
        <w:widowControl w:val="0"/>
        <w:autoSpaceDE w:val="0"/>
        <w:autoSpaceDN w:val="0"/>
        <w:spacing w:before="0" w:after="0" w:line="240" w:lineRule="auto"/>
        <w:ind w:left="567"/>
        <w:rPr>
          <w:b/>
          <w:sz w:val="22"/>
          <w:szCs w:val="22"/>
        </w:rPr>
      </w:pPr>
      <w:r w:rsidRPr="00F715E7">
        <w:rPr>
          <w:b/>
          <w:sz w:val="22"/>
          <w:szCs w:val="22"/>
        </w:rPr>
        <w:t>c. Tercer concepto de invalidez.</w:t>
      </w:r>
    </w:p>
    <w:p w14:paraId="75A8B6B3"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475EBD5" w14:textId="2F2965C2"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El partido accionante consider</w:t>
      </w:r>
      <w:r w:rsidR="00DA24FE" w:rsidRPr="00F715E7">
        <w:rPr>
          <w:bCs/>
          <w:sz w:val="22"/>
          <w:szCs w:val="22"/>
        </w:rPr>
        <w:t>ó</w:t>
      </w:r>
      <w:r w:rsidRPr="00F715E7">
        <w:rPr>
          <w:bCs/>
          <w:sz w:val="22"/>
          <w:szCs w:val="22"/>
        </w:rPr>
        <w:t xml:space="preserve"> que la reducción del 50% en las prerrogativas a</w:t>
      </w:r>
      <w:r w:rsidR="006A20D6" w:rsidRPr="00F715E7">
        <w:rPr>
          <w:bCs/>
          <w:sz w:val="22"/>
          <w:szCs w:val="22"/>
        </w:rPr>
        <w:t xml:space="preserve"> las</w:t>
      </w:r>
      <w:r w:rsidRPr="00F715E7">
        <w:rPr>
          <w:bCs/>
          <w:sz w:val="22"/>
          <w:szCs w:val="22"/>
        </w:rPr>
        <w:t xml:space="preserve"> que tienen derecho los partidos políticos nacionales con registro local fue indebidamente fundamentada y motivada.</w:t>
      </w:r>
    </w:p>
    <w:p w14:paraId="1AE53F7F"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7C19AF0" w14:textId="5B84B7DB"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Al respecto, estim</w:t>
      </w:r>
      <w:r w:rsidR="00DA24FE" w:rsidRPr="00F715E7">
        <w:rPr>
          <w:bCs/>
          <w:sz w:val="22"/>
          <w:szCs w:val="22"/>
        </w:rPr>
        <w:t>ó</w:t>
      </w:r>
      <w:r w:rsidRPr="00F715E7">
        <w:rPr>
          <w:bCs/>
          <w:sz w:val="22"/>
          <w:szCs w:val="22"/>
        </w:rPr>
        <w:t xml:space="preserve"> que la fórmula desarrollada por el </w:t>
      </w:r>
      <w:r w:rsidR="00DA24FE" w:rsidRPr="00F715E7">
        <w:rPr>
          <w:bCs/>
          <w:sz w:val="22"/>
          <w:szCs w:val="22"/>
        </w:rPr>
        <w:t>l</w:t>
      </w:r>
      <w:r w:rsidRPr="00F715E7">
        <w:rPr>
          <w:bCs/>
          <w:sz w:val="22"/>
          <w:szCs w:val="22"/>
        </w:rPr>
        <w:t>egislador local, si bien fue realizada con base en su libertad configurativa, no satisface los extremos del principio de equidad, toda vez que la Suprema Corte</w:t>
      </w:r>
      <w:r w:rsidR="00DA24FE" w:rsidRPr="00F715E7">
        <w:rPr>
          <w:bCs/>
          <w:sz w:val="22"/>
          <w:szCs w:val="22"/>
        </w:rPr>
        <w:t xml:space="preserve"> de Justicia de la Nación</w:t>
      </w:r>
      <w:r w:rsidRPr="00F715E7">
        <w:rPr>
          <w:bCs/>
          <w:sz w:val="22"/>
          <w:szCs w:val="22"/>
        </w:rPr>
        <w:t xml:space="preserve"> ha establecido que los Estados tienen libertad configurativa para establecer el financiamiento público para actividades ordinarias, de conformidad con lo dispuesto en </w:t>
      </w:r>
      <w:r w:rsidR="00D36412">
        <w:rPr>
          <w:bCs/>
          <w:sz w:val="22"/>
          <w:szCs w:val="22"/>
        </w:rPr>
        <w:t>los</w:t>
      </w:r>
      <w:r w:rsidRPr="00F715E7">
        <w:rPr>
          <w:bCs/>
          <w:sz w:val="22"/>
          <w:szCs w:val="22"/>
        </w:rPr>
        <w:t xml:space="preserve"> artículo</w:t>
      </w:r>
      <w:r w:rsidR="00D36412">
        <w:rPr>
          <w:bCs/>
          <w:sz w:val="22"/>
          <w:szCs w:val="22"/>
        </w:rPr>
        <w:t>s</w:t>
      </w:r>
      <w:r w:rsidRPr="00F715E7">
        <w:rPr>
          <w:bCs/>
          <w:sz w:val="22"/>
          <w:szCs w:val="22"/>
        </w:rPr>
        <w:t xml:space="preserve"> 116</w:t>
      </w:r>
      <w:r w:rsidR="00CB52EE" w:rsidRPr="00F715E7">
        <w:rPr>
          <w:bCs/>
          <w:sz w:val="22"/>
          <w:szCs w:val="22"/>
        </w:rPr>
        <w:t>,</w:t>
      </w:r>
      <w:r w:rsidRPr="00F715E7">
        <w:rPr>
          <w:bCs/>
          <w:sz w:val="22"/>
          <w:szCs w:val="22"/>
        </w:rPr>
        <w:t xml:space="preserve"> fracción IV</w:t>
      </w:r>
      <w:r w:rsidR="00CB52EE" w:rsidRPr="00F715E7">
        <w:rPr>
          <w:bCs/>
          <w:sz w:val="22"/>
          <w:szCs w:val="22"/>
        </w:rPr>
        <w:t>,</w:t>
      </w:r>
      <w:r w:rsidRPr="00F715E7">
        <w:rPr>
          <w:bCs/>
          <w:sz w:val="22"/>
          <w:szCs w:val="22"/>
        </w:rPr>
        <w:t xml:space="preserve"> inciso g)</w:t>
      </w:r>
      <w:r w:rsidR="00CB52EE" w:rsidRPr="00F715E7">
        <w:rPr>
          <w:bCs/>
          <w:sz w:val="22"/>
          <w:szCs w:val="22"/>
        </w:rPr>
        <w:t>,</w:t>
      </w:r>
      <w:r w:rsidRPr="00F715E7">
        <w:rPr>
          <w:bCs/>
          <w:sz w:val="22"/>
          <w:szCs w:val="22"/>
        </w:rPr>
        <w:t xml:space="preserve"> de la Constitución Federal y 52 de la Ley General de Partidos Políticos; también es cierto que, las entidades federativas tienen esta libertad de configuración, siempre y cuando se cumpla con lo establecido en el propio dispositivo constitucional, </w:t>
      </w:r>
      <w:r w:rsidR="00DA24FE" w:rsidRPr="00F715E7">
        <w:rPr>
          <w:bCs/>
          <w:sz w:val="22"/>
          <w:szCs w:val="22"/>
        </w:rPr>
        <w:t>el cual dispone</w:t>
      </w:r>
      <w:r w:rsidRPr="00F715E7">
        <w:rPr>
          <w:bCs/>
          <w:sz w:val="22"/>
          <w:szCs w:val="22"/>
        </w:rPr>
        <w:t xml:space="preserve"> que la legislación estatal electoral debe garantizar que los partidos políticos reciban de manera equitativa financiamiento público para sus actividades ordinarias permanentes, así como las tendentes a la obtención del voto </w:t>
      </w:r>
      <w:r w:rsidRPr="00F715E7">
        <w:rPr>
          <w:bCs/>
          <w:sz w:val="22"/>
          <w:szCs w:val="22"/>
        </w:rPr>
        <w:lastRenderedPageBreak/>
        <w:t>durante los procesos electorales.</w:t>
      </w:r>
    </w:p>
    <w:p w14:paraId="0961E50C"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0B9CBA81" w14:textId="1A93047C" w:rsidR="003C3BCD" w:rsidRPr="00F715E7" w:rsidRDefault="00B44A1A"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Destacó </w:t>
      </w:r>
      <w:r w:rsidR="003C3BCD" w:rsidRPr="00F715E7">
        <w:rPr>
          <w:bCs/>
          <w:sz w:val="22"/>
          <w:szCs w:val="22"/>
        </w:rPr>
        <w:t xml:space="preserve">que la nueva fórmula de distribución del financiamiento local para los partidos políticos nacionales con registro local es diferente a la que hasta la fecha se encontraba en vigor en la entidad y que es idéntica a la fórmula constitucional, y </w:t>
      </w:r>
      <w:r w:rsidR="00DA24FE" w:rsidRPr="00F715E7">
        <w:rPr>
          <w:bCs/>
          <w:sz w:val="22"/>
          <w:szCs w:val="22"/>
        </w:rPr>
        <w:t>refirió</w:t>
      </w:r>
      <w:r w:rsidR="003C3BCD" w:rsidRPr="00F715E7">
        <w:rPr>
          <w:bCs/>
          <w:sz w:val="22"/>
          <w:szCs w:val="22"/>
        </w:rPr>
        <w:t xml:space="preserve"> que no se cuestiona la libertad configurativa sino el cómo se llega a establecer que dicha modificación es o no equitativa.</w:t>
      </w:r>
    </w:p>
    <w:p w14:paraId="16ABA2BC"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518EBECB" w14:textId="75A6DC84"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En ese sentido, </w:t>
      </w:r>
      <w:r w:rsidR="00DA24FE" w:rsidRPr="00F715E7">
        <w:rPr>
          <w:bCs/>
          <w:sz w:val="22"/>
          <w:szCs w:val="22"/>
        </w:rPr>
        <w:t>el partido político accionante propuso</w:t>
      </w:r>
      <w:r w:rsidRPr="00F715E7">
        <w:rPr>
          <w:bCs/>
          <w:sz w:val="22"/>
          <w:szCs w:val="22"/>
        </w:rPr>
        <w:t xml:space="preserve"> responder la siguiente pregunta ¿</w:t>
      </w:r>
      <w:r w:rsidR="001D0F6F" w:rsidRPr="00F715E7">
        <w:rPr>
          <w:bCs/>
          <w:sz w:val="22"/>
          <w:szCs w:val="22"/>
        </w:rPr>
        <w:t>c</w:t>
      </w:r>
      <w:r w:rsidRPr="00F715E7">
        <w:rPr>
          <w:bCs/>
          <w:sz w:val="22"/>
          <w:szCs w:val="22"/>
        </w:rPr>
        <w:t xml:space="preserve">ómo se llega a la conclusión de que la disminución del 50% en las prerrogativas a </w:t>
      </w:r>
      <w:r w:rsidR="00A92F52" w:rsidRPr="00F715E7">
        <w:rPr>
          <w:bCs/>
          <w:sz w:val="22"/>
          <w:szCs w:val="22"/>
        </w:rPr>
        <w:t xml:space="preserve">las </w:t>
      </w:r>
      <w:r w:rsidRPr="00F715E7">
        <w:rPr>
          <w:bCs/>
          <w:sz w:val="22"/>
          <w:szCs w:val="22"/>
        </w:rPr>
        <w:t>que tienen derecho los partidos políticos nacionales con registro local, significa un trato equitativo, ya no del legislador, sino desde la constitución local?</w:t>
      </w:r>
    </w:p>
    <w:p w14:paraId="6C3A49EF"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3334E03" w14:textId="295DB03F"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Sentado lo anterior, argument</w:t>
      </w:r>
      <w:r w:rsidR="00DA24FE" w:rsidRPr="00F715E7">
        <w:rPr>
          <w:bCs/>
          <w:sz w:val="22"/>
          <w:szCs w:val="22"/>
        </w:rPr>
        <w:t>ó</w:t>
      </w:r>
      <w:r w:rsidRPr="00F715E7">
        <w:rPr>
          <w:bCs/>
          <w:sz w:val="22"/>
          <w:szCs w:val="22"/>
        </w:rPr>
        <w:t xml:space="preserve"> que al disminuir el 50% del financiamiento para actividades ordinarias, se disminuye en la misma proporción el financiamiento para la obtención del voto y más aún en lo que respecta al financiamiento para actividades específicas, pues la base del cálculo es precisamente la bolsa que se genera a partir de la aplicación de la fórmula que por esta vía se impugna.</w:t>
      </w:r>
    </w:p>
    <w:p w14:paraId="32448A0E"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0A710113" w14:textId="75E13A67"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En esa línea, consider</w:t>
      </w:r>
      <w:r w:rsidR="00DA24FE" w:rsidRPr="00F715E7">
        <w:rPr>
          <w:bCs/>
          <w:sz w:val="22"/>
          <w:szCs w:val="22"/>
        </w:rPr>
        <w:t>ó</w:t>
      </w:r>
      <w:r w:rsidRPr="00F715E7">
        <w:rPr>
          <w:bCs/>
          <w:sz w:val="22"/>
          <w:szCs w:val="22"/>
        </w:rPr>
        <w:t xml:space="preserve"> que en ninguna parte de la exposición de motivos de la iniciativa o en las consideraciones del dictamen aprobado, se logra esclarecer cómo en vísperas de una elección, el descontar el 50% de las prerrogativas a los partidos políticos nacionales con registro estatal, es equitativo o no y </w:t>
      </w:r>
      <w:r w:rsidR="00DA24FE" w:rsidRPr="00F715E7">
        <w:rPr>
          <w:bCs/>
          <w:sz w:val="22"/>
          <w:szCs w:val="22"/>
        </w:rPr>
        <w:t>añadió</w:t>
      </w:r>
      <w:r w:rsidRPr="00F715E7">
        <w:rPr>
          <w:bCs/>
          <w:sz w:val="22"/>
          <w:szCs w:val="22"/>
        </w:rPr>
        <w:t xml:space="preserve"> que la libertad configurativa local no es suficiente para modificar normas jurídicas arbitrariamente, menos cuando tales normas tienen un contenido de índole presupuestal público, cuyo sentido es la materialización del derecho a ser votado a través de un partido político.</w:t>
      </w:r>
    </w:p>
    <w:p w14:paraId="2C42DC0B"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C0056EF" w14:textId="015DA9DA" w:rsidR="003C3BCD" w:rsidRPr="00F715E7" w:rsidRDefault="003C3BCD" w:rsidP="0098787A">
      <w:pPr>
        <w:pStyle w:val="Prrafodelista"/>
        <w:widowControl w:val="0"/>
        <w:autoSpaceDE w:val="0"/>
        <w:autoSpaceDN w:val="0"/>
        <w:spacing w:before="0" w:after="0" w:line="240" w:lineRule="auto"/>
        <w:ind w:left="567"/>
        <w:rPr>
          <w:b/>
          <w:sz w:val="22"/>
          <w:szCs w:val="22"/>
        </w:rPr>
      </w:pPr>
      <w:r w:rsidRPr="00F715E7">
        <w:rPr>
          <w:b/>
          <w:sz w:val="22"/>
          <w:szCs w:val="22"/>
        </w:rPr>
        <w:t>d. Cuarto concepto de invalidez</w:t>
      </w:r>
      <w:r w:rsidR="00CB5CF8" w:rsidRPr="00F715E7">
        <w:rPr>
          <w:b/>
          <w:sz w:val="22"/>
          <w:szCs w:val="22"/>
        </w:rPr>
        <w:t>.</w:t>
      </w:r>
    </w:p>
    <w:p w14:paraId="5413C67F" w14:textId="77777777" w:rsidR="003C3BCD" w:rsidRPr="00F715E7" w:rsidRDefault="003C3BCD" w:rsidP="0098787A">
      <w:pPr>
        <w:pStyle w:val="Prrafodelista"/>
        <w:widowControl w:val="0"/>
        <w:autoSpaceDE w:val="0"/>
        <w:autoSpaceDN w:val="0"/>
        <w:spacing w:before="0" w:after="0" w:line="240" w:lineRule="auto"/>
        <w:ind w:left="567"/>
        <w:rPr>
          <w:b/>
          <w:sz w:val="22"/>
          <w:szCs w:val="22"/>
        </w:rPr>
      </w:pPr>
    </w:p>
    <w:p w14:paraId="15B2CE68" w14:textId="6BCD5585"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El Partido Acción Nacional consider</w:t>
      </w:r>
      <w:r w:rsidR="00DA24FE" w:rsidRPr="00F715E7">
        <w:rPr>
          <w:bCs/>
          <w:sz w:val="22"/>
          <w:szCs w:val="22"/>
        </w:rPr>
        <w:t>ó</w:t>
      </w:r>
      <w:r w:rsidRPr="00F715E7">
        <w:rPr>
          <w:bCs/>
          <w:sz w:val="22"/>
          <w:szCs w:val="22"/>
        </w:rPr>
        <w:t xml:space="preserve"> que hay una doble interpretación violatoria del principio de equidad en el financiamiento para los partidos políticos, previsto en </w:t>
      </w:r>
      <w:r w:rsidR="00D271B7">
        <w:rPr>
          <w:bCs/>
          <w:sz w:val="22"/>
          <w:szCs w:val="22"/>
        </w:rPr>
        <w:t>los</w:t>
      </w:r>
      <w:r w:rsidRPr="00F715E7">
        <w:rPr>
          <w:bCs/>
          <w:sz w:val="22"/>
          <w:szCs w:val="22"/>
        </w:rPr>
        <w:t xml:space="preserve"> artículo</w:t>
      </w:r>
      <w:r w:rsidR="00D271B7">
        <w:rPr>
          <w:bCs/>
          <w:sz w:val="22"/>
          <w:szCs w:val="22"/>
        </w:rPr>
        <w:t>s</w:t>
      </w:r>
      <w:r w:rsidRPr="00F715E7">
        <w:rPr>
          <w:bCs/>
          <w:sz w:val="22"/>
          <w:szCs w:val="22"/>
        </w:rPr>
        <w:t xml:space="preserve"> 41 y 116</w:t>
      </w:r>
      <w:r w:rsidR="00CB52EE" w:rsidRPr="00F715E7">
        <w:rPr>
          <w:bCs/>
          <w:sz w:val="22"/>
          <w:szCs w:val="22"/>
        </w:rPr>
        <w:t>,</w:t>
      </w:r>
      <w:r w:rsidRPr="00F715E7">
        <w:rPr>
          <w:bCs/>
          <w:sz w:val="22"/>
          <w:szCs w:val="22"/>
        </w:rPr>
        <w:t xml:space="preserve"> fracción IV</w:t>
      </w:r>
      <w:r w:rsidR="00CB52EE" w:rsidRPr="00F715E7">
        <w:rPr>
          <w:bCs/>
          <w:sz w:val="22"/>
          <w:szCs w:val="22"/>
        </w:rPr>
        <w:t>,</w:t>
      </w:r>
      <w:r w:rsidRPr="00F715E7">
        <w:rPr>
          <w:bCs/>
          <w:sz w:val="22"/>
          <w:szCs w:val="22"/>
        </w:rPr>
        <w:t xml:space="preserve"> inciso b)</w:t>
      </w:r>
      <w:r w:rsidR="00CB52EE" w:rsidRPr="00F715E7">
        <w:rPr>
          <w:bCs/>
          <w:sz w:val="22"/>
          <w:szCs w:val="22"/>
        </w:rPr>
        <w:t>,</w:t>
      </w:r>
      <w:r w:rsidRPr="00F715E7">
        <w:rPr>
          <w:bCs/>
          <w:sz w:val="22"/>
          <w:szCs w:val="22"/>
        </w:rPr>
        <w:t xml:space="preserve"> de la Constitución Federal.</w:t>
      </w:r>
    </w:p>
    <w:p w14:paraId="07A51E36"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484BA75" w14:textId="29E91119"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A su juicio, con la reforma impugnada cuando haya partidos políticos locales, tendrían que existir dos bolsas económicas; una</w:t>
      </w:r>
      <w:r w:rsidR="00E553E7" w:rsidRPr="00F715E7">
        <w:rPr>
          <w:bCs/>
          <w:sz w:val="22"/>
          <w:szCs w:val="22"/>
        </w:rPr>
        <w:t xml:space="preserve"> </w:t>
      </w:r>
      <w:r w:rsidRPr="00F715E7">
        <w:rPr>
          <w:bCs/>
          <w:sz w:val="22"/>
          <w:szCs w:val="22"/>
        </w:rPr>
        <w:t>destinada precisamente a los partidos políticos locales; y la otra a los partidos políticos nacionales con acreditación ante el Organismo Público Local Electoral, ya que se propone aplicar distintas fórmulas para obtener el financiamiento de uno y otro.</w:t>
      </w:r>
    </w:p>
    <w:p w14:paraId="52F20739"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A0C050D"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Dicha situación, lejos de disminuir, pudiera significar un aumento del recurso público para las prerrogativas de los partidos políticos en el Estado, precisamente porque se generarían dos bolsas económicas, cuyos efectos se traducen en una inequidad en el financiamiento para los partidos políticos nacionales en relación con los partidos políticos locales.</w:t>
      </w:r>
    </w:p>
    <w:p w14:paraId="2A2A9A6B"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3F72B46B" w14:textId="0F2A8238"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Así, consider</w:t>
      </w:r>
      <w:r w:rsidR="00E553E7" w:rsidRPr="00F715E7">
        <w:rPr>
          <w:bCs/>
          <w:sz w:val="22"/>
          <w:szCs w:val="22"/>
        </w:rPr>
        <w:t>ó</w:t>
      </w:r>
      <w:r w:rsidRPr="00F715E7">
        <w:rPr>
          <w:bCs/>
          <w:sz w:val="22"/>
          <w:szCs w:val="22"/>
        </w:rPr>
        <w:t xml:space="preserve"> que la materialización de la reforma no evitaría que aumentara el recurso público destinado a los partidos políticos; y por otra parte, si los partidos políticos locales se inconformaran, es posible que los tribunales puedan darles la razón y en efecto se generen dos bolsas para el financiamiento público a los partidos políticos; y esta situación resta certeza a los partidos políticos.</w:t>
      </w:r>
    </w:p>
    <w:p w14:paraId="2E803388"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0745A6E6" w14:textId="684D6C41" w:rsidR="003C3BCD" w:rsidRPr="00F715E7" w:rsidRDefault="003C3BCD" w:rsidP="001E1EF8">
      <w:pPr>
        <w:pStyle w:val="Prrafodelista"/>
        <w:widowControl w:val="0"/>
        <w:autoSpaceDE w:val="0"/>
        <w:autoSpaceDN w:val="0"/>
        <w:spacing w:before="0" w:after="0" w:line="240" w:lineRule="auto"/>
        <w:ind w:left="567"/>
        <w:rPr>
          <w:rFonts w:eastAsia="Arial"/>
          <w:b/>
          <w:bCs/>
          <w:spacing w:val="-5"/>
          <w:w w:val="105"/>
          <w:sz w:val="22"/>
          <w:szCs w:val="22"/>
          <w:lang w:eastAsia="en-US"/>
        </w:rPr>
      </w:pPr>
      <w:r w:rsidRPr="00F715E7">
        <w:rPr>
          <w:rFonts w:eastAsia="Arial"/>
          <w:b/>
          <w:bCs/>
          <w:spacing w:val="-5"/>
          <w:w w:val="105"/>
          <w:sz w:val="22"/>
          <w:szCs w:val="22"/>
          <w:lang w:eastAsia="en-US"/>
        </w:rPr>
        <w:t>e. Quinto concepto de invalidez</w:t>
      </w:r>
      <w:r w:rsidR="00CB5CF8" w:rsidRPr="00F715E7">
        <w:rPr>
          <w:rFonts w:eastAsia="Arial"/>
          <w:b/>
          <w:bCs/>
          <w:spacing w:val="-5"/>
          <w:w w:val="105"/>
          <w:sz w:val="22"/>
          <w:szCs w:val="22"/>
          <w:lang w:eastAsia="en-US"/>
        </w:rPr>
        <w:t>.</w:t>
      </w:r>
      <w:r w:rsidRPr="00F715E7">
        <w:rPr>
          <w:rFonts w:eastAsia="Arial"/>
          <w:b/>
          <w:bCs/>
          <w:spacing w:val="-5"/>
          <w:w w:val="105"/>
          <w:sz w:val="22"/>
          <w:szCs w:val="22"/>
          <w:lang w:eastAsia="en-US"/>
        </w:rPr>
        <w:t xml:space="preserve"> </w:t>
      </w:r>
    </w:p>
    <w:p w14:paraId="16208BC4" w14:textId="77777777" w:rsidR="003C3BCD" w:rsidRPr="00F715E7" w:rsidRDefault="003C3BCD" w:rsidP="0098787A">
      <w:pPr>
        <w:pStyle w:val="Prrafodelista"/>
        <w:widowControl w:val="0"/>
        <w:autoSpaceDE w:val="0"/>
        <w:autoSpaceDN w:val="0"/>
        <w:spacing w:before="0" w:after="0" w:line="240" w:lineRule="auto"/>
        <w:ind w:left="567"/>
        <w:rPr>
          <w:rFonts w:eastAsia="Arial"/>
          <w:b/>
          <w:bCs/>
          <w:spacing w:val="-5"/>
          <w:w w:val="105"/>
          <w:sz w:val="22"/>
          <w:szCs w:val="22"/>
          <w:lang w:eastAsia="en-US"/>
        </w:rPr>
      </w:pPr>
    </w:p>
    <w:p w14:paraId="799E993E" w14:textId="37FA8D72"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El partido accionante señal</w:t>
      </w:r>
      <w:r w:rsidR="00E553E7" w:rsidRPr="00F715E7">
        <w:rPr>
          <w:bCs/>
          <w:sz w:val="22"/>
          <w:szCs w:val="22"/>
        </w:rPr>
        <w:t>ó</w:t>
      </w:r>
      <w:r w:rsidRPr="00F715E7">
        <w:rPr>
          <w:bCs/>
          <w:sz w:val="22"/>
          <w:szCs w:val="22"/>
        </w:rPr>
        <w:t xml:space="preserve"> que el artículo 50, apartado </w:t>
      </w:r>
      <w:r w:rsidR="00ED7A3E" w:rsidRPr="00F715E7">
        <w:rPr>
          <w:bCs/>
          <w:sz w:val="22"/>
          <w:szCs w:val="22"/>
        </w:rPr>
        <w:t>A</w:t>
      </w:r>
      <w:r w:rsidRPr="00F715E7">
        <w:rPr>
          <w:bCs/>
          <w:sz w:val="22"/>
          <w:szCs w:val="22"/>
        </w:rPr>
        <w:t xml:space="preserve">, en su fracción I, del Código Electoral local, reformado mediante el </w:t>
      </w:r>
      <w:r w:rsidR="00910B64" w:rsidRPr="00F715E7">
        <w:rPr>
          <w:bCs/>
          <w:sz w:val="22"/>
          <w:szCs w:val="22"/>
        </w:rPr>
        <w:t>D</w:t>
      </w:r>
      <w:r w:rsidRPr="00F715E7">
        <w:rPr>
          <w:bCs/>
          <w:sz w:val="22"/>
          <w:szCs w:val="22"/>
        </w:rPr>
        <w:t xml:space="preserve">ecreto 2 impugnado, es violatorio de lo previsto en los </w:t>
      </w:r>
      <w:r w:rsidR="00D271B7">
        <w:rPr>
          <w:bCs/>
          <w:sz w:val="22"/>
          <w:szCs w:val="22"/>
        </w:rPr>
        <w:t>numerales</w:t>
      </w:r>
      <w:r w:rsidRPr="00F715E7">
        <w:rPr>
          <w:bCs/>
          <w:sz w:val="22"/>
          <w:szCs w:val="22"/>
        </w:rPr>
        <w:t xml:space="preserve"> 41, fracción 11, inciso c), y 116, fracción IV, inciso g)</w:t>
      </w:r>
      <w:r w:rsidR="00D271B7">
        <w:rPr>
          <w:bCs/>
          <w:sz w:val="22"/>
          <w:szCs w:val="22"/>
        </w:rPr>
        <w:t>,</w:t>
      </w:r>
      <w:r w:rsidRPr="00F715E7">
        <w:rPr>
          <w:bCs/>
          <w:sz w:val="22"/>
          <w:szCs w:val="22"/>
        </w:rPr>
        <w:t xml:space="preserve"> de la Constitución Federal, así como del principio de supremacía constitucional consagrado en el </w:t>
      </w:r>
      <w:r w:rsidR="00F956E0">
        <w:rPr>
          <w:bCs/>
          <w:sz w:val="22"/>
          <w:szCs w:val="22"/>
        </w:rPr>
        <w:t>diverso</w:t>
      </w:r>
      <w:r w:rsidRPr="00F715E7">
        <w:rPr>
          <w:bCs/>
          <w:sz w:val="22"/>
          <w:szCs w:val="22"/>
        </w:rPr>
        <w:t xml:space="preserve"> 133, por la violación directa generada al artículo 51.2 inciso b)</w:t>
      </w:r>
      <w:r w:rsidR="00F956E0">
        <w:rPr>
          <w:bCs/>
          <w:sz w:val="22"/>
          <w:szCs w:val="22"/>
        </w:rPr>
        <w:t>,</w:t>
      </w:r>
      <w:r w:rsidRPr="00F715E7">
        <w:rPr>
          <w:bCs/>
          <w:sz w:val="22"/>
          <w:szCs w:val="22"/>
        </w:rPr>
        <w:t xml:space="preserve"> de la Ley General de Partidos Políticos.</w:t>
      </w:r>
    </w:p>
    <w:p w14:paraId="5469E4D2"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7D7C2B85" w14:textId="4D6F978A"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En ese sentido, el hecho de que el legislador local haya establecido una </w:t>
      </w:r>
      <w:r w:rsidR="00A77858" w:rsidRPr="00F715E7">
        <w:rPr>
          <w:bCs/>
          <w:sz w:val="22"/>
          <w:szCs w:val="22"/>
        </w:rPr>
        <w:t>fórmula</w:t>
      </w:r>
      <w:r w:rsidRPr="00F715E7">
        <w:rPr>
          <w:bCs/>
          <w:sz w:val="22"/>
          <w:szCs w:val="22"/>
        </w:rPr>
        <w:t xml:space="preserve"> de distribución del financiamiento para las actividades específicas de los partidos políticos nacionales con registro local, distinta a la prevista en la Ley General de Partidos Políticos</w:t>
      </w:r>
      <w:r w:rsidR="00E553E7" w:rsidRPr="00F715E7">
        <w:rPr>
          <w:bCs/>
          <w:sz w:val="22"/>
          <w:szCs w:val="22"/>
        </w:rPr>
        <w:t>,</w:t>
      </w:r>
      <w:r w:rsidRPr="00F715E7">
        <w:rPr>
          <w:bCs/>
          <w:sz w:val="22"/>
          <w:szCs w:val="22"/>
        </w:rPr>
        <w:t xml:space="preserve"> propicia que los partidos locales obtengan mayor ingreso al que de hecho ya tendrán conforme a la reforma impugnada.</w:t>
      </w:r>
    </w:p>
    <w:p w14:paraId="1F9E885A"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FE1A210"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Por otra parte, este trato igualitario afectará aún más los ingresos que por este concepto tiene derecho un partido nacional con registro local, puesto que de la totalidad de la bolsa a distribuir no logrará obtener, en forma equivalente con el texto constitucional federal, lo que le corresponde en virtud de no existir un porcentaje que se distribuya en forma proporcional al número de votos obtenidos en la elección inmediata anterior, tal y como lo establece la Constitución Federal.</w:t>
      </w:r>
    </w:p>
    <w:p w14:paraId="2E131096"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C701CFD" w14:textId="05218428" w:rsidR="003C3BCD" w:rsidRPr="00F715E7" w:rsidRDefault="000E3AE4" w:rsidP="0098787A">
      <w:pPr>
        <w:pStyle w:val="Prrafodelista"/>
        <w:widowControl w:val="0"/>
        <w:autoSpaceDE w:val="0"/>
        <w:autoSpaceDN w:val="0"/>
        <w:spacing w:before="0" w:after="0" w:line="240" w:lineRule="auto"/>
        <w:ind w:left="567"/>
        <w:rPr>
          <w:bCs/>
          <w:sz w:val="22"/>
          <w:szCs w:val="22"/>
        </w:rPr>
      </w:pPr>
      <w:r w:rsidRPr="00F715E7">
        <w:rPr>
          <w:bCs/>
          <w:sz w:val="22"/>
          <w:szCs w:val="22"/>
        </w:rPr>
        <w:t xml:space="preserve">El </w:t>
      </w:r>
      <w:r w:rsidR="0027453B" w:rsidRPr="00F715E7">
        <w:rPr>
          <w:bCs/>
          <w:sz w:val="22"/>
          <w:szCs w:val="22"/>
        </w:rPr>
        <w:t>partido</w:t>
      </w:r>
      <w:r w:rsidR="003C3BCD" w:rsidRPr="00F715E7">
        <w:rPr>
          <w:bCs/>
          <w:sz w:val="22"/>
          <w:szCs w:val="22"/>
        </w:rPr>
        <w:t xml:space="preserve"> político accionante argument</w:t>
      </w:r>
      <w:r w:rsidR="007E4F7F" w:rsidRPr="00F715E7">
        <w:rPr>
          <w:bCs/>
          <w:sz w:val="22"/>
          <w:szCs w:val="22"/>
        </w:rPr>
        <w:t xml:space="preserve">ó </w:t>
      </w:r>
      <w:r w:rsidR="003C3BCD" w:rsidRPr="00F715E7">
        <w:rPr>
          <w:bCs/>
          <w:sz w:val="22"/>
          <w:szCs w:val="22"/>
        </w:rPr>
        <w:t>que el legislador del Estado de Veracruz modificó la forma de distribución del financiamiento público que corresponde a los partidos políticos para actividades específicas</w:t>
      </w:r>
      <w:r w:rsidR="0027453B" w:rsidRPr="00F715E7">
        <w:rPr>
          <w:bCs/>
          <w:sz w:val="22"/>
          <w:szCs w:val="22"/>
        </w:rPr>
        <w:t>. Ello resulta</w:t>
      </w:r>
      <w:r w:rsidR="003C3BCD" w:rsidRPr="00F715E7">
        <w:rPr>
          <w:bCs/>
          <w:sz w:val="22"/>
          <w:szCs w:val="22"/>
        </w:rPr>
        <w:t xml:space="preserve"> inconstitucional</w:t>
      </w:r>
      <w:r w:rsidR="0027453B" w:rsidRPr="00F715E7">
        <w:rPr>
          <w:bCs/>
          <w:sz w:val="22"/>
          <w:szCs w:val="22"/>
        </w:rPr>
        <w:t xml:space="preserve"> ya que </w:t>
      </w:r>
      <w:r w:rsidR="003C3BCD" w:rsidRPr="00F715E7">
        <w:rPr>
          <w:bCs/>
          <w:sz w:val="22"/>
          <w:szCs w:val="22"/>
        </w:rPr>
        <w:t>en dicha legislación se deja de garantizar la distribución equitativa establecida en la Constitución Federal, pues al señalar que el financiamiento para dichas actividades será distribuido de forma igualitaria, trae como consecuencia una disminución de los recursos que de forma equitativa le correspondería al resto de los partidos políticos.</w:t>
      </w:r>
    </w:p>
    <w:p w14:paraId="6414EF39"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22A4B55"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Lo anterior, deja en desventaja a los partidos políticos nacionales con registro local, pues aunado al hecho de que bajará el porcentaje de recursos provenientes del financiamiento para actividades ordinarias; no resulta equitativo en proporción con el esfuerzo e impulso que capitaliza cada partido político en cada contienda electoral, lo que no se garantiza con una distribución igualitaria contraria a lo establecido en la Constitución Federal en los artículos 41, fracción II, inciso c), y 116, fracción IV, inciso g).</w:t>
      </w:r>
    </w:p>
    <w:p w14:paraId="7B98A563"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A0DB8EF" w14:textId="06C95CB8" w:rsidR="003C3BCD" w:rsidRPr="00F715E7" w:rsidRDefault="0027453B" w:rsidP="0098787A">
      <w:pPr>
        <w:pStyle w:val="Prrafodelista"/>
        <w:widowControl w:val="0"/>
        <w:autoSpaceDE w:val="0"/>
        <w:autoSpaceDN w:val="0"/>
        <w:spacing w:before="0" w:after="0" w:line="240" w:lineRule="auto"/>
        <w:ind w:left="567"/>
        <w:rPr>
          <w:bCs/>
          <w:sz w:val="22"/>
          <w:szCs w:val="22"/>
        </w:rPr>
      </w:pPr>
      <w:r w:rsidRPr="00F715E7">
        <w:rPr>
          <w:bCs/>
          <w:sz w:val="22"/>
          <w:szCs w:val="22"/>
        </w:rPr>
        <w:t>Finalmente</w:t>
      </w:r>
      <w:r w:rsidR="003C3BCD" w:rsidRPr="00F715E7">
        <w:rPr>
          <w:bCs/>
          <w:sz w:val="22"/>
          <w:szCs w:val="22"/>
        </w:rPr>
        <w:t xml:space="preserve">, </w:t>
      </w:r>
      <w:r w:rsidRPr="00F715E7">
        <w:rPr>
          <w:bCs/>
          <w:sz w:val="22"/>
          <w:szCs w:val="22"/>
        </w:rPr>
        <w:t xml:space="preserve">el Partido Acción Nacional </w:t>
      </w:r>
      <w:r w:rsidR="003C3BCD" w:rsidRPr="00F715E7">
        <w:rPr>
          <w:bCs/>
          <w:sz w:val="22"/>
          <w:szCs w:val="22"/>
        </w:rPr>
        <w:t>estim</w:t>
      </w:r>
      <w:r w:rsidR="007E4F7F" w:rsidRPr="00F715E7">
        <w:rPr>
          <w:bCs/>
          <w:sz w:val="22"/>
          <w:szCs w:val="22"/>
        </w:rPr>
        <w:t>ó</w:t>
      </w:r>
      <w:r w:rsidR="003C3BCD" w:rsidRPr="00F715E7">
        <w:rPr>
          <w:bCs/>
          <w:sz w:val="22"/>
          <w:szCs w:val="22"/>
        </w:rPr>
        <w:t xml:space="preserve"> que es criterio reiterado y vinculante de la Suprema Corte de Justicia de la Nación que tratándose de las reglas relacionadas con el financiamiento público de los partidos políticos relativo al sostenimiento de sus actividades ordinarias permanentes, debe atenderse de manera sistemática a lo previsto en la Constitución Federal y la Ley General de Partidos Políticos, donde se detalla explícitamente la forma de calcular dicho financiamiento por todos los </w:t>
      </w:r>
      <w:r w:rsidRPr="00F715E7">
        <w:rPr>
          <w:bCs/>
          <w:sz w:val="22"/>
          <w:szCs w:val="22"/>
        </w:rPr>
        <w:t>E</w:t>
      </w:r>
      <w:r w:rsidR="003C3BCD" w:rsidRPr="00F715E7">
        <w:rPr>
          <w:bCs/>
          <w:sz w:val="22"/>
          <w:szCs w:val="22"/>
        </w:rPr>
        <w:t xml:space="preserve">stados de la República cuando se trate de partidos políticos locales. Y si bien es cierto que en cuanto a lo que se regula por los </w:t>
      </w:r>
      <w:r w:rsidRPr="00F715E7">
        <w:rPr>
          <w:bCs/>
          <w:sz w:val="22"/>
          <w:szCs w:val="22"/>
        </w:rPr>
        <w:t>E</w:t>
      </w:r>
      <w:r w:rsidR="003C3BCD" w:rsidRPr="00F715E7">
        <w:rPr>
          <w:bCs/>
          <w:sz w:val="22"/>
          <w:szCs w:val="22"/>
        </w:rPr>
        <w:t xml:space="preserve">stados respecto del financiamiento de origen estatal para los partidos políticos nacionales que conserven su acreditación en el </w:t>
      </w:r>
      <w:r w:rsidRPr="00F715E7">
        <w:rPr>
          <w:bCs/>
          <w:sz w:val="22"/>
          <w:szCs w:val="22"/>
        </w:rPr>
        <w:t>E</w:t>
      </w:r>
      <w:r w:rsidR="003C3BCD" w:rsidRPr="00F715E7">
        <w:rPr>
          <w:bCs/>
          <w:sz w:val="22"/>
          <w:szCs w:val="22"/>
        </w:rPr>
        <w:t>stado; en este supuesto la Ley General</w:t>
      </w:r>
      <w:r w:rsidRPr="00F715E7">
        <w:rPr>
          <w:bCs/>
          <w:sz w:val="22"/>
          <w:szCs w:val="22"/>
        </w:rPr>
        <w:t xml:space="preserve"> respectiv</w:t>
      </w:r>
      <w:r w:rsidR="00F956E0">
        <w:rPr>
          <w:bCs/>
          <w:sz w:val="22"/>
          <w:szCs w:val="22"/>
        </w:rPr>
        <w:t>a</w:t>
      </w:r>
      <w:r w:rsidRPr="00F715E7">
        <w:rPr>
          <w:bCs/>
          <w:sz w:val="22"/>
          <w:szCs w:val="22"/>
        </w:rPr>
        <w:t>,</w:t>
      </w:r>
      <w:r w:rsidR="003C3BCD" w:rsidRPr="00F715E7">
        <w:rPr>
          <w:bCs/>
          <w:sz w:val="22"/>
          <w:szCs w:val="22"/>
        </w:rPr>
        <w:t xml:space="preserve"> únicamente establece ciertas condicionantes, dejando en libertad de configuración a las entidades para establecer las reglas de su otorgamiento.</w:t>
      </w:r>
    </w:p>
    <w:p w14:paraId="6B7C66F0"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1E85F548" w14:textId="494F865E" w:rsidR="003C3BCD" w:rsidRPr="00F715E7" w:rsidRDefault="00C24B0F" w:rsidP="0098787A">
      <w:pPr>
        <w:pStyle w:val="Prrafodelista"/>
        <w:widowControl w:val="0"/>
        <w:autoSpaceDE w:val="0"/>
        <w:autoSpaceDN w:val="0"/>
        <w:spacing w:before="0" w:after="0" w:line="240" w:lineRule="auto"/>
        <w:ind w:left="567"/>
        <w:rPr>
          <w:b/>
          <w:sz w:val="22"/>
          <w:szCs w:val="22"/>
        </w:rPr>
      </w:pPr>
      <w:r w:rsidRPr="00F715E7">
        <w:rPr>
          <w:b/>
          <w:sz w:val="22"/>
          <w:szCs w:val="22"/>
        </w:rPr>
        <w:t>V</w:t>
      </w:r>
      <w:r w:rsidR="003C3BCD" w:rsidRPr="00F715E7">
        <w:rPr>
          <w:b/>
          <w:sz w:val="22"/>
          <w:szCs w:val="22"/>
        </w:rPr>
        <w:t>. Acción de inconstitucionalidad 17/2022 (Partido Revolucionario Institucional)</w:t>
      </w:r>
      <w:r w:rsidR="00CB5CF8" w:rsidRPr="00F715E7">
        <w:rPr>
          <w:b/>
          <w:sz w:val="22"/>
          <w:szCs w:val="22"/>
        </w:rPr>
        <w:t>.</w:t>
      </w:r>
    </w:p>
    <w:p w14:paraId="141F9ACF" w14:textId="6CD87C44" w:rsidR="003C3BCD" w:rsidRPr="00F715E7" w:rsidRDefault="003C3BCD" w:rsidP="0098787A">
      <w:pPr>
        <w:pStyle w:val="Prrafodelista"/>
        <w:widowControl w:val="0"/>
        <w:autoSpaceDE w:val="0"/>
        <w:autoSpaceDN w:val="0"/>
        <w:spacing w:before="0" w:after="0" w:line="240" w:lineRule="auto"/>
        <w:ind w:left="567"/>
        <w:rPr>
          <w:b/>
          <w:sz w:val="22"/>
          <w:szCs w:val="22"/>
        </w:rPr>
      </w:pPr>
    </w:p>
    <w:p w14:paraId="48243783" w14:textId="53CD385E" w:rsidR="00CB52EE" w:rsidRPr="00F715E7" w:rsidRDefault="00CB52EE" w:rsidP="0098787A">
      <w:pPr>
        <w:pStyle w:val="Prrafodelista"/>
        <w:widowControl w:val="0"/>
        <w:autoSpaceDE w:val="0"/>
        <w:autoSpaceDN w:val="0"/>
        <w:spacing w:before="0" w:after="0" w:line="240" w:lineRule="auto"/>
        <w:ind w:left="567"/>
        <w:rPr>
          <w:rFonts w:eastAsia="Arial"/>
          <w:b/>
          <w:bCs/>
          <w:spacing w:val="-5"/>
          <w:w w:val="105"/>
          <w:sz w:val="22"/>
          <w:szCs w:val="22"/>
          <w:lang w:eastAsia="en-US"/>
        </w:rPr>
      </w:pPr>
      <w:r w:rsidRPr="00F715E7">
        <w:rPr>
          <w:rFonts w:eastAsia="Arial"/>
          <w:b/>
          <w:bCs/>
          <w:spacing w:val="-5"/>
          <w:w w:val="105"/>
          <w:sz w:val="22"/>
          <w:szCs w:val="22"/>
          <w:lang w:eastAsia="en-US"/>
        </w:rPr>
        <w:t>a. Primer concepto de invalidez.</w:t>
      </w:r>
    </w:p>
    <w:p w14:paraId="227F876D" w14:textId="77777777" w:rsidR="00CB52EE" w:rsidRPr="00F715E7" w:rsidRDefault="00CB52EE" w:rsidP="0098787A">
      <w:pPr>
        <w:pStyle w:val="Prrafodelista"/>
        <w:widowControl w:val="0"/>
        <w:autoSpaceDE w:val="0"/>
        <w:autoSpaceDN w:val="0"/>
        <w:spacing w:before="0" w:after="0" w:line="240" w:lineRule="auto"/>
        <w:ind w:left="567"/>
        <w:rPr>
          <w:b/>
          <w:sz w:val="22"/>
          <w:szCs w:val="22"/>
        </w:rPr>
      </w:pPr>
    </w:p>
    <w:p w14:paraId="1B82ADE6" w14:textId="094976ED"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El Partido Revolucionario Institucional argument</w:t>
      </w:r>
      <w:r w:rsidR="007E4F7F" w:rsidRPr="00F715E7">
        <w:rPr>
          <w:bCs/>
          <w:sz w:val="22"/>
          <w:szCs w:val="22"/>
        </w:rPr>
        <w:t>ó</w:t>
      </w:r>
      <w:r w:rsidRPr="00F715E7">
        <w:rPr>
          <w:bCs/>
          <w:sz w:val="22"/>
          <w:szCs w:val="22"/>
        </w:rPr>
        <w:t xml:space="preserve"> que la reforma impugnada es inconstitucional porque en términos de lo resuelto el Pleno de la Suprema Corte de Justicia de la Nación en la sentencia recaída a la acción de inconstitucionalidad 241/2020 y sus acumuladas se estableció invalidar el Decreto 580, ante la falta de celebración de la consulta previa</w:t>
      </w:r>
      <w:r w:rsidR="007E4F7F" w:rsidRPr="00F715E7">
        <w:rPr>
          <w:bCs/>
          <w:sz w:val="22"/>
          <w:szCs w:val="22"/>
        </w:rPr>
        <w:t xml:space="preserve"> a</w:t>
      </w:r>
      <w:r w:rsidRPr="00F715E7">
        <w:rPr>
          <w:bCs/>
          <w:sz w:val="22"/>
          <w:szCs w:val="22"/>
        </w:rPr>
        <w:t xml:space="preserve"> los integrantes de las comunidades indígenas y de </w:t>
      </w:r>
      <w:r w:rsidR="00CF035E" w:rsidRPr="00F715E7">
        <w:rPr>
          <w:bCs/>
          <w:sz w:val="22"/>
          <w:szCs w:val="22"/>
        </w:rPr>
        <w:t>comunidades afromexicanas</w:t>
      </w:r>
      <w:r w:rsidRPr="00F715E7">
        <w:rPr>
          <w:bCs/>
          <w:sz w:val="22"/>
          <w:szCs w:val="22"/>
        </w:rPr>
        <w:t>.</w:t>
      </w:r>
    </w:p>
    <w:p w14:paraId="7F561AF4"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5551102" w14:textId="6C6D4A76"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En dicha sentencia se ordenó que previ</w:t>
      </w:r>
      <w:r w:rsidR="00943DED" w:rsidRPr="00F715E7">
        <w:rPr>
          <w:bCs/>
          <w:sz w:val="22"/>
          <w:szCs w:val="22"/>
        </w:rPr>
        <w:t>o</w:t>
      </w:r>
      <w:r w:rsidRPr="00F715E7">
        <w:rPr>
          <w:bCs/>
          <w:sz w:val="22"/>
          <w:szCs w:val="22"/>
        </w:rPr>
        <w:t xml:space="preserve"> a que en el </w:t>
      </w:r>
      <w:r w:rsidR="007E4F7F" w:rsidRPr="00F715E7">
        <w:rPr>
          <w:bCs/>
          <w:sz w:val="22"/>
          <w:szCs w:val="22"/>
        </w:rPr>
        <w:t>E</w:t>
      </w:r>
      <w:r w:rsidRPr="00F715E7">
        <w:rPr>
          <w:bCs/>
          <w:sz w:val="22"/>
          <w:szCs w:val="22"/>
        </w:rPr>
        <w:t xml:space="preserve">stado de Veracruz se pretendiera plantear futuras reformas, adiciones o derogaciones de normas pertenecientes al marco legal que rige los procesos electorales es deber del Congreso local formular una consulta amplia e informada a los integrantes de los diversos pueblos originarios e incluso que dicha consulta se hacía extensiva a los integrantes de las comunidades </w:t>
      </w:r>
      <w:r w:rsidR="003A1E3C" w:rsidRPr="00F715E7">
        <w:rPr>
          <w:bCs/>
          <w:sz w:val="22"/>
          <w:szCs w:val="22"/>
        </w:rPr>
        <w:t>afromexicanas</w:t>
      </w:r>
      <w:r w:rsidRPr="00F715E7">
        <w:rPr>
          <w:bCs/>
          <w:sz w:val="22"/>
          <w:szCs w:val="22"/>
        </w:rPr>
        <w:t xml:space="preserve"> que les permita pronunciarse de manera plena e informada respecto de la conveniencia o no de la reforma o reformas planteadas.</w:t>
      </w:r>
    </w:p>
    <w:p w14:paraId="4B7A31B3"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29D16DCE" w14:textId="1703A45B"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En ese sentido, precis</w:t>
      </w:r>
      <w:r w:rsidR="00ED7A3E" w:rsidRPr="00F715E7">
        <w:rPr>
          <w:sz w:val="22"/>
          <w:szCs w:val="22"/>
        </w:rPr>
        <w:t>ó</w:t>
      </w:r>
      <w:r w:rsidRPr="00F715E7">
        <w:rPr>
          <w:sz w:val="22"/>
          <w:szCs w:val="22"/>
        </w:rPr>
        <w:t xml:space="preserve"> que ni de la lectura a la propuesta de reforma enviada al Congreso del Estado por el Gobernador del Estado de Veracruz, ni del dictamen publicado en la Gaceta Legislativa número 9 se advierte que, respecto de esta misma propuesta se haya celebrado la consulta previa a los pueblos originarios y a </w:t>
      </w:r>
      <w:r w:rsidR="00CF035E" w:rsidRPr="00F715E7">
        <w:rPr>
          <w:sz w:val="22"/>
          <w:szCs w:val="22"/>
        </w:rPr>
        <w:t>las comunidades afromexicanas</w:t>
      </w:r>
      <w:r w:rsidRPr="00F715E7">
        <w:rPr>
          <w:sz w:val="22"/>
          <w:szCs w:val="22"/>
        </w:rPr>
        <w:t xml:space="preserve"> con residencia en el </w:t>
      </w:r>
      <w:r w:rsidR="00F956E0">
        <w:rPr>
          <w:sz w:val="22"/>
          <w:szCs w:val="22"/>
        </w:rPr>
        <w:t>E</w:t>
      </w:r>
      <w:r w:rsidRPr="00F715E7">
        <w:rPr>
          <w:sz w:val="22"/>
          <w:szCs w:val="22"/>
        </w:rPr>
        <w:t>stado, sobre la propuesta de modificar la fórmula para calcular el financiamiento público a los partidos políticos de esta entidad, lo que sin duda alguna afecta de inconstitucional dicha propuesta, pues no se les tomó en cuenta su parecer de participar en todas las decisiones políticas que pudieran afectar su libre desarrollo.</w:t>
      </w:r>
    </w:p>
    <w:p w14:paraId="626E4024"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3A9F89C8" w14:textId="71A6F3C1" w:rsidR="003C3BCD" w:rsidRPr="00F715E7" w:rsidRDefault="003C3BCD" w:rsidP="0098787A">
      <w:pPr>
        <w:pStyle w:val="Prrafodelista"/>
        <w:widowControl w:val="0"/>
        <w:autoSpaceDE w:val="0"/>
        <w:autoSpaceDN w:val="0"/>
        <w:spacing w:before="0" w:after="0" w:line="240" w:lineRule="auto"/>
        <w:ind w:left="567"/>
        <w:rPr>
          <w:b/>
          <w:sz w:val="22"/>
          <w:szCs w:val="22"/>
        </w:rPr>
      </w:pPr>
      <w:r w:rsidRPr="00F715E7">
        <w:rPr>
          <w:b/>
          <w:sz w:val="22"/>
          <w:szCs w:val="22"/>
        </w:rPr>
        <w:t>b. Segundo concepto de invalidez</w:t>
      </w:r>
      <w:r w:rsidR="00CB5CF8" w:rsidRPr="00F715E7">
        <w:rPr>
          <w:b/>
          <w:sz w:val="22"/>
          <w:szCs w:val="22"/>
        </w:rPr>
        <w:t>.</w:t>
      </w:r>
    </w:p>
    <w:p w14:paraId="15759C4B" w14:textId="77777777" w:rsidR="003C3BCD" w:rsidRPr="00F715E7" w:rsidRDefault="003C3BCD" w:rsidP="0098787A">
      <w:pPr>
        <w:pStyle w:val="Prrafodelista"/>
        <w:widowControl w:val="0"/>
        <w:autoSpaceDE w:val="0"/>
        <w:autoSpaceDN w:val="0"/>
        <w:spacing w:before="0" w:after="0" w:line="240" w:lineRule="auto"/>
        <w:ind w:left="567"/>
        <w:rPr>
          <w:b/>
          <w:sz w:val="22"/>
          <w:szCs w:val="22"/>
        </w:rPr>
      </w:pPr>
    </w:p>
    <w:p w14:paraId="5BF9AC88" w14:textId="18C24FEF"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t>El partido accionante argument</w:t>
      </w:r>
      <w:r w:rsidR="003A1E3C" w:rsidRPr="00F715E7">
        <w:rPr>
          <w:bCs/>
          <w:sz w:val="22"/>
          <w:szCs w:val="22"/>
        </w:rPr>
        <w:t>ó</w:t>
      </w:r>
      <w:r w:rsidRPr="00F715E7">
        <w:rPr>
          <w:bCs/>
          <w:sz w:val="22"/>
          <w:szCs w:val="22"/>
        </w:rPr>
        <w:t xml:space="preserve"> que la reforma impugnada vulnera el artículo 105, fracción II, penúltimo párrafo de la Ley Reglamentaria de las </w:t>
      </w:r>
      <w:r w:rsidR="00F956E0">
        <w:rPr>
          <w:bCs/>
          <w:sz w:val="22"/>
          <w:szCs w:val="22"/>
        </w:rPr>
        <w:t>F</w:t>
      </w:r>
      <w:r w:rsidRPr="00F715E7">
        <w:rPr>
          <w:bCs/>
          <w:sz w:val="22"/>
          <w:szCs w:val="22"/>
        </w:rPr>
        <w:t xml:space="preserve">racciones I y II de dicho precepto </w:t>
      </w:r>
      <w:r w:rsidR="007C54EF" w:rsidRPr="00F715E7">
        <w:rPr>
          <w:bCs/>
          <w:sz w:val="22"/>
          <w:szCs w:val="22"/>
        </w:rPr>
        <w:t>c</w:t>
      </w:r>
      <w:r w:rsidRPr="00F715E7">
        <w:rPr>
          <w:bCs/>
          <w:sz w:val="22"/>
          <w:szCs w:val="22"/>
        </w:rPr>
        <w:t xml:space="preserve">onstitucional (veda electoral), relacionada con el </w:t>
      </w:r>
      <w:r w:rsidR="00F956E0">
        <w:rPr>
          <w:bCs/>
          <w:sz w:val="22"/>
          <w:szCs w:val="22"/>
        </w:rPr>
        <w:t>diverso</w:t>
      </w:r>
      <w:r w:rsidRPr="00F715E7">
        <w:rPr>
          <w:bCs/>
          <w:sz w:val="22"/>
          <w:szCs w:val="22"/>
        </w:rPr>
        <w:t xml:space="preserve"> 169 del Código Electoral para el Estado de Veracruz de Ignacio de la Llave (duración del proceso electoral).</w:t>
      </w:r>
    </w:p>
    <w:p w14:paraId="145CBB98"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4495760F" w14:textId="05C09AC5" w:rsidR="003C3BCD" w:rsidRPr="00F715E7" w:rsidRDefault="003C3BCD" w:rsidP="0098787A">
      <w:pPr>
        <w:pStyle w:val="Prrafodelista"/>
        <w:widowControl w:val="0"/>
        <w:autoSpaceDE w:val="0"/>
        <w:autoSpaceDN w:val="0"/>
        <w:spacing w:before="0" w:after="0" w:line="240" w:lineRule="auto"/>
        <w:ind w:left="567"/>
        <w:rPr>
          <w:bCs/>
          <w:i/>
          <w:sz w:val="22"/>
          <w:szCs w:val="22"/>
        </w:rPr>
      </w:pPr>
      <w:r w:rsidRPr="00F715E7">
        <w:rPr>
          <w:bCs/>
          <w:sz w:val="22"/>
          <w:szCs w:val="22"/>
        </w:rPr>
        <w:t>Lo anterior con base en que las autoridades legislativa y ejecutiv</w:t>
      </w:r>
      <w:r w:rsidR="003A1E3C" w:rsidRPr="00F715E7">
        <w:rPr>
          <w:bCs/>
          <w:sz w:val="22"/>
          <w:szCs w:val="22"/>
        </w:rPr>
        <w:t>a</w:t>
      </w:r>
      <w:r w:rsidRPr="00F715E7">
        <w:rPr>
          <w:bCs/>
          <w:sz w:val="22"/>
          <w:szCs w:val="22"/>
        </w:rPr>
        <w:t xml:space="preserve"> estatal</w:t>
      </w:r>
      <w:r w:rsidR="003A1E3C" w:rsidRPr="00F715E7">
        <w:rPr>
          <w:bCs/>
          <w:sz w:val="22"/>
          <w:szCs w:val="22"/>
        </w:rPr>
        <w:t>es</w:t>
      </w:r>
      <w:r w:rsidRPr="00F715E7">
        <w:rPr>
          <w:bCs/>
          <w:sz w:val="22"/>
          <w:szCs w:val="22"/>
        </w:rPr>
        <w:t xml:space="preserve">, además  de que no observaron lo resuelto en la sentencia emitida por la Suprema Corte </w:t>
      </w:r>
      <w:r w:rsidR="003A1E3C" w:rsidRPr="00F715E7">
        <w:rPr>
          <w:bCs/>
          <w:sz w:val="22"/>
          <w:szCs w:val="22"/>
        </w:rPr>
        <w:t xml:space="preserve">de Justicia de la Nación </w:t>
      </w:r>
      <w:r w:rsidRPr="00F715E7">
        <w:rPr>
          <w:bCs/>
          <w:sz w:val="22"/>
          <w:szCs w:val="22"/>
        </w:rPr>
        <w:t xml:space="preserve">en las </w:t>
      </w:r>
      <w:r w:rsidR="003A1E3C" w:rsidRPr="00F715E7">
        <w:rPr>
          <w:bCs/>
          <w:sz w:val="22"/>
          <w:szCs w:val="22"/>
        </w:rPr>
        <w:t>a</w:t>
      </w:r>
      <w:r w:rsidRPr="00F715E7">
        <w:rPr>
          <w:bCs/>
          <w:sz w:val="22"/>
          <w:szCs w:val="22"/>
        </w:rPr>
        <w:t xml:space="preserve">cciones de </w:t>
      </w:r>
      <w:r w:rsidR="003A1E3C" w:rsidRPr="00F715E7">
        <w:rPr>
          <w:bCs/>
          <w:sz w:val="22"/>
          <w:szCs w:val="22"/>
        </w:rPr>
        <w:t>i</w:t>
      </w:r>
      <w:r w:rsidRPr="00F715E7">
        <w:rPr>
          <w:bCs/>
          <w:sz w:val="22"/>
          <w:szCs w:val="22"/>
        </w:rPr>
        <w:t xml:space="preserve">nconstitucionalidad número 148/ 2020 y sus acumuladas y la </w:t>
      </w:r>
      <w:r w:rsidR="00F956E0">
        <w:rPr>
          <w:bCs/>
          <w:sz w:val="22"/>
          <w:szCs w:val="22"/>
        </w:rPr>
        <w:t xml:space="preserve">diversa </w:t>
      </w:r>
      <w:r w:rsidRPr="00F715E7">
        <w:rPr>
          <w:bCs/>
          <w:sz w:val="22"/>
          <w:szCs w:val="22"/>
        </w:rPr>
        <w:t>241/ 2020 y sus acumuladas, precisadas en el concepto de invalidez anterior, tampoco observaron lo señalado en el artículo 105, fracción II</w:t>
      </w:r>
      <w:r w:rsidR="00F956E0">
        <w:rPr>
          <w:bCs/>
          <w:sz w:val="22"/>
          <w:szCs w:val="22"/>
        </w:rPr>
        <w:t>,</w:t>
      </w:r>
      <w:r w:rsidRPr="00F715E7">
        <w:rPr>
          <w:bCs/>
          <w:sz w:val="22"/>
          <w:szCs w:val="22"/>
        </w:rPr>
        <w:t xml:space="preserve"> penúltimo párrafo</w:t>
      </w:r>
      <w:r w:rsidR="00F956E0">
        <w:rPr>
          <w:bCs/>
          <w:sz w:val="22"/>
          <w:szCs w:val="22"/>
        </w:rPr>
        <w:t>,</w:t>
      </w:r>
      <w:r w:rsidRPr="00F715E7">
        <w:rPr>
          <w:bCs/>
          <w:sz w:val="22"/>
          <w:szCs w:val="22"/>
        </w:rPr>
        <w:t xml:space="preserve"> de la Constitución Política de los Estados Unidos Mexicanos, que a la letra establece: </w:t>
      </w:r>
      <w:r w:rsidRPr="00F715E7">
        <w:rPr>
          <w:bCs/>
          <w:iCs/>
          <w:sz w:val="22"/>
          <w:szCs w:val="22"/>
        </w:rPr>
        <w:t>"Las leyes electorales federal y locales deberán promulgarse y publicarse por lo menos noventa días antes de que inicie el proceso electoral en que vayan a aplicarse, y durante el mismo no podrá haber modificaciones legales fundamentales."</w:t>
      </w:r>
    </w:p>
    <w:p w14:paraId="34DEEE00"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675D3397" w14:textId="7C2B3470" w:rsidR="003C3BCD" w:rsidRPr="00F715E7" w:rsidRDefault="003C3BCD" w:rsidP="0098787A">
      <w:pPr>
        <w:pStyle w:val="Prrafodelista"/>
        <w:widowControl w:val="0"/>
        <w:autoSpaceDE w:val="0"/>
        <w:autoSpaceDN w:val="0"/>
        <w:spacing w:before="0" w:after="0" w:line="240" w:lineRule="auto"/>
        <w:ind w:left="567"/>
        <w:rPr>
          <w:bCs/>
          <w:sz w:val="22"/>
          <w:szCs w:val="22"/>
        </w:rPr>
      </w:pPr>
      <w:r w:rsidRPr="00F715E7">
        <w:rPr>
          <w:bCs/>
          <w:sz w:val="22"/>
          <w:szCs w:val="22"/>
        </w:rPr>
        <w:lastRenderedPageBreak/>
        <w:t>En ese sentido, el proceso electoral de mérito para la renovación de los integrantes del Congreso del Estado y los integrantes de los Ayuntamientos no había concluido en la fecha en la que el Congreso del Estado aprobó el Decreto número 2 que reforma el artículo 50 del Código Electoral del Estado, esto es el diecisiete de diciembre de dos mil veintiuno, así como tampoco en la fecha de la publicación del citado Decreto, veintiocho de diciembre de año dos mil vei</w:t>
      </w:r>
      <w:r w:rsidR="00A77858" w:rsidRPr="00F715E7">
        <w:rPr>
          <w:bCs/>
          <w:sz w:val="22"/>
          <w:szCs w:val="22"/>
        </w:rPr>
        <w:t>n</w:t>
      </w:r>
      <w:r w:rsidRPr="00F715E7">
        <w:rPr>
          <w:bCs/>
          <w:sz w:val="22"/>
          <w:szCs w:val="22"/>
        </w:rPr>
        <w:t>tiuno en la Gaceta Oficial del Estado, lo que hace inconstitucional la reforma, pues cualquier modificación al marco legal en materia electoral, solo podría realizarse una vez concluido el proceso electoral en el que éstas hayan sido aplicadas</w:t>
      </w:r>
    </w:p>
    <w:p w14:paraId="7D910D88" w14:textId="77777777" w:rsidR="003C3BCD" w:rsidRPr="00F715E7" w:rsidRDefault="003C3BCD" w:rsidP="0098787A">
      <w:pPr>
        <w:pStyle w:val="Prrafodelista"/>
        <w:widowControl w:val="0"/>
        <w:autoSpaceDE w:val="0"/>
        <w:autoSpaceDN w:val="0"/>
        <w:spacing w:before="0" w:after="0" w:line="240" w:lineRule="auto"/>
        <w:ind w:left="567"/>
        <w:rPr>
          <w:bCs/>
          <w:sz w:val="22"/>
          <w:szCs w:val="22"/>
        </w:rPr>
      </w:pPr>
    </w:p>
    <w:p w14:paraId="40C106E7" w14:textId="10ACF0D2"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En apoyo a lo anterior, el Partido Revolucionario Institucional cit</w:t>
      </w:r>
      <w:r w:rsidR="005321AC" w:rsidRPr="00F715E7">
        <w:rPr>
          <w:sz w:val="22"/>
          <w:szCs w:val="22"/>
        </w:rPr>
        <w:t>ó</w:t>
      </w:r>
      <w:r w:rsidRPr="00F715E7">
        <w:rPr>
          <w:sz w:val="22"/>
          <w:szCs w:val="22"/>
        </w:rPr>
        <w:t xml:space="preserve"> lo resuelto por la Suprema Corte de Justicia de la Nación en la Acción de Inconstitucionalidad 108/2019 y su acumulada, en cuanto a que un proceso electoral concluye con la etapa de resultados y la declaración de validez de las elecciones correspondientes y se encuentra constituido con los cómputos y declaraciones que realicen los consejos del Instituto Nacional Electoral, o bien, con las resoluciones que pronuncien, en última instancia, el Tribunal Electoral Local o las Salas del Tribunal Electoral del Poder Judicial de la Federación, dando con ello certeza, firmeza y definitividad a dicha etapa, misma que es generada por la emisión de las resoluciones correspondientes, respecto a los cómputos o declaraciones realizados por la autoridad administrativa electoral encargada de organizar y validar los comicios.</w:t>
      </w:r>
    </w:p>
    <w:p w14:paraId="4832A65B"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51EA3B52" w14:textId="037EF9D8"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Por otro lado, el partido accionante estim</w:t>
      </w:r>
      <w:r w:rsidR="005321AC" w:rsidRPr="00F715E7">
        <w:rPr>
          <w:sz w:val="22"/>
          <w:szCs w:val="22"/>
        </w:rPr>
        <w:t>ó</w:t>
      </w:r>
      <w:r w:rsidRPr="00F715E7">
        <w:rPr>
          <w:sz w:val="22"/>
          <w:szCs w:val="22"/>
        </w:rPr>
        <w:t xml:space="preserve"> que la reforma impugnada constituye una modificación de carácter sustancial que no podía realizarse noventa días antes o durante el proceso legislativo porque la negación </w:t>
      </w:r>
      <w:r w:rsidR="0020338D" w:rsidRPr="00F715E7">
        <w:rPr>
          <w:sz w:val="22"/>
          <w:szCs w:val="22"/>
        </w:rPr>
        <w:t xml:space="preserve">del </w:t>
      </w:r>
      <w:r w:rsidRPr="00F715E7">
        <w:rPr>
          <w:sz w:val="22"/>
          <w:szCs w:val="22"/>
        </w:rPr>
        <w:t>financiamiento público que legalmente les corresponda, aunque sea en los años en que no hay elecciones, se puede constituir en una causa o motivo decisivo para que no puedan realizar actividades que deben y necesitan llevar a cabo los partidos políticos o no las puedan llevar a cabo de la manera más adecuada, y esto puede traer como repercusión su debilitamiento y, en algunos casos, llevarlos hasta su extinción, lo que les impediría llegar al proceso electoral o llegar</w:t>
      </w:r>
      <w:r w:rsidR="00A77858" w:rsidRPr="00F715E7">
        <w:rPr>
          <w:sz w:val="22"/>
          <w:szCs w:val="22"/>
        </w:rPr>
        <w:t xml:space="preserve"> </w:t>
      </w:r>
      <w:r w:rsidRPr="00F715E7">
        <w:rPr>
          <w:sz w:val="22"/>
          <w:szCs w:val="22"/>
        </w:rPr>
        <w:t>en mejores condiciones al mismo.</w:t>
      </w:r>
    </w:p>
    <w:p w14:paraId="21F28A03"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70A56B08" w14:textId="71A112C9"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Finalmente, el partido accionante establec</w:t>
      </w:r>
      <w:r w:rsidR="005321AC" w:rsidRPr="00F715E7">
        <w:rPr>
          <w:sz w:val="22"/>
          <w:szCs w:val="22"/>
        </w:rPr>
        <w:t>ió</w:t>
      </w:r>
      <w:r w:rsidRPr="00F715E7">
        <w:rPr>
          <w:sz w:val="22"/>
          <w:szCs w:val="22"/>
        </w:rPr>
        <w:t xml:space="preserve"> que la reducción del financiamiento público en un 50% para los partidos políticos nacionales con registro local trae como consecuencia que se violenten sus derechos como entes de interés público de promover la participación de los ciudadanos  en la vida democrática y contribuir  a la integración d</w:t>
      </w:r>
      <w:r w:rsidR="005321AC" w:rsidRPr="00F715E7">
        <w:rPr>
          <w:sz w:val="22"/>
          <w:szCs w:val="22"/>
        </w:rPr>
        <w:t>e</w:t>
      </w:r>
      <w:r w:rsidRPr="00F715E7">
        <w:rPr>
          <w:sz w:val="22"/>
          <w:szCs w:val="22"/>
        </w:rPr>
        <w:t xml:space="preserve"> los órganos de representación política, y como organizaciones de ciudadanos el de hacer posible su acceso al ejercicio del poder público, en términos de lo que también señala el artículo 41, fracción I</w:t>
      </w:r>
      <w:r w:rsidR="002F452C" w:rsidRPr="00F715E7">
        <w:rPr>
          <w:sz w:val="22"/>
          <w:szCs w:val="22"/>
        </w:rPr>
        <w:t>,</w:t>
      </w:r>
      <w:r w:rsidRPr="00F715E7">
        <w:rPr>
          <w:sz w:val="22"/>
          <w:szCs w:val="22"/>
        </w:rPr>
        <w:t xml:space="preserve"> de Constitución Federal.</w:t>
      </w:r>
    </w:p>
    <w:p w14:paraId="1507F8DC"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6DE2D993" w14:textId="2CE221EF" w:rsidR="003C3BCD" w:rsidRPr="00F715E7" w:rsidRDefault="003C3BCD" w:rsidP="0098787A">
      <w:pPr>
        <w:pStyle w:val="Prrafodelista"/>
        <w:widowControl w:val="0"/>
        <w:autoSpaceDE w:val="0"/>
        <w:autoSpaceDN w:val="0"/>
        <w:spacing w:before="0" w:after="0" w:line="240" w:lineRule="auto"/>
        <w:ind w:left="567"/>
        <w:rPr>
          <w:b/>
          <w:bCs/>
          <w:sz w:val="22"/>
          <w:szCs w:val="22"/>
        </w:rPr>
      </w:pPr>
      <w:r w:rsidRPr="00F715E7">
        <w:rPr>
          <w:b/>
          <w:bCs/>
          <w:sz w:val="22"/>
          <w:szCs w:val="22"/>
        </w:rPr>
        <w:t>c. Tercer concepto de invalidez</w:t>
      </w:r>
      <w:r w:rsidR="00CB5CF8" w:rsidRPr="00F715E7">
        <w:rPr>
          <w:b/>
          <w:bCs/>
          <w:sz w:val="22"/>
          <w:szCs w:val="22"/>
        </w:rPr>
        <w:t>.</w:t>
      </w:r>
    </w:p>
    <w:p w14:paraId="32C1CB72"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FA6B5BF" w14:textId="39555D70"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 Partido de Revolucionario Institucional consider</w:t>
      </w:r>
      <w:r w:rsidR="004241EC" w:rsidRPr="00F715E7">
        <w:rPr>
          <w:sz w:val="22"/>
          <w:szCs w:val="22"/>
        </w:rPr>
        <w:t>ó</w:t>
      </w:r>
      <w:r w:rsidRPr="00F715E7">
        <w:rPr>
          <w:sz w:val="22"/>
          <w:szCs w:val="22"/>
        </w:rPr>
        <w:t xml:space="preserve"> que la reforma es inconstitucional, porque el artículo 50 del Código Electoral local transgrede lo establecido en el numeral 116, segundo párrafo, fracción IV</w:t>
      </w:r>
      <w:r w:rsidR="0003608A">
        <w:rPr>
          <w:sz w:val="22"/>
          <w:szCs w:val="22"/>
        </w:rPr>
        <w:t>,</w:t>
      </w:r>
      <w:r w:rsidRPr="00F715E7">
        <w:rPr>
          <w:sz w:val="22"/>
          <w:szCs w:val="22"/>
        </w:rPr>
        <w:t xml:space="preserve"> de la Constitución Federal, el cual establece que el financiamiento se debe fijar de conformidad con las bases establecidas en dicha Constitución </w:t>
      </w:r>
      <w:r w:rsidR="0003608A">
        <w:rPr>
          <w:sz w:val="22"/>
          <w:szCs w:val="22"/>
        </w:rPr>
        <w:t>F</w:t>
      </w:r>
      <w:r w:rsidRPr="00F715E7">
        <w:rPr>
          <w:sz w:val="22"/>
          <w:szCs w:val="22"/>
        </w:rPr>
        <w:t>ederal y en las leyes generales en la materia.</w:t>
      </w:r>
    </w:p>
    <w:p w14:paraId="4997385A"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959B7FA" w14:textId="03499999"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También precis</w:t>
      </w:r>
      <w:r w:rsidR="004241EC" w:rsidRPr="00F715E7">
        <w:rPr>
          <w:sz w:val="22"/>
          <w:szCs w:val="22"/>
        </w:rPr>
        <w:t>ó</w:t>
      </w:r>
      <w:r w:rsidRPr="00F715E7">
        <w:rPr>
          <w:sz w:val="22"/>
          <w:szCs w:val="22"/>
        </w:rPr>
        <w:t xml:space="preserve"> que la reforma propuesta se aparta de la aplicación de las bases constitucionales, pues establece una forma de asignar financiamiento a los partidos políticos en la entidad que difiere de las bases constitucionales, lo cual rompe con el </w:t>
      </w:r>
      <w:r w:rsidRPr="00F715E7">
        <w:rPr>
          <w:sz w:val="22"/>
          <w:szCs w:val="22"/>
        </w:rPr>
        <w:lastRenderedPageBreak/>
        <w:t>principio de equidad, pues se estaría tratando en forma desigual a los partidos políticos nacionales con registro local.</w:t>
      </w:r>
    </w:p>
    <w:p w14:paraId="11F3BF26"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EF8D9AA" w14:textId="50013903"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Por otro lado, consider</w:t>
      </w:r>
      <w:r w:rsidR="004241EC" w:rsidRPr="00F715E7">
        <w:rPr>
          <w:sz w:val="22"/>
          <w:szCs w:val="22"/>
        </w:rPr>
        <w:t>ó</w:t>
      </w:r>
      <w:r w:rsidRPr="00F715E7">
        <w:rPr>
          <w:sz w:val="22"/>
          <w:szCs w:val="22"/>
        </w:rPr>
        <w:t xml:space="preserve"> que si bien las legislaturas estatales, dentro de la libertad de configuración que gozan, habrán de ponderar sus propias necesidades y circunstancias políticas, pero sin alejarse significativamente de las bases generales previstas en la Constitución Federal; por lo tanto, la reforma impugnada por esta vía se aparta significativamente de los parámetros constitucionales.</w:t>
      </w:r>
    </w:p>
    <w:p w14:paraId="3BC325D3"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88EEC0A" w14:textId="276ED81A"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Finalmente, el instituto político consider</w:t>
      </w:r>
      <w:r w:rsidR="004241EC" w:rsidRPr="00F715E7">
        <w:rPr>
          <w:sz w:val="22"/>
          <w:szCs w:val="22"/>
        </w:rPr>
        <w:t>ó</w:t>
      </w:r>
      <w:r w:rsidRPr="00F715E7">
        <w:rPr>
          <w:sz w:val="22"/>
          <w:szCs w:val="22"/>
        </w:rPr>
        <w:t xml:space="preserve"> que la reducción que se estableció en el decreto que se impugna, es desproporcionada y carece de razonabilidad, pues del 65% reduce al 32.5% el financiamiento mencionado por lo que se debe declarar su inconstitucionalidad y por ende su invalidez.</w:t>
      </w:r>
    </w:p>
    <w:p w14:paraId="2E02140D"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20C7F717" w14:textId="7A3C9A2C" w:rsidR="003C3BCD" w:rsidRPr="00F715E7" w:rsidRDefault="003C3BCD" w:rsidP="0098787A">
      <w:pPr>
        <w:pStyle w:val="Prrafodelista"/>
        <w:widowControl w:val="0"/>
        <w:autoSpaceDE w:val="0"/>
        <w:autoSpaceDN w:val="0"/>
        <w:spacing w:before="0" w:after="0" w:line="240" w:lineRule="auto"/>
        <w:ind w:left="567"/>
        <w:rPr>
          <w:b/>
          <w:bCs/>
          <w:sz w:val="22"/>
          <w:szCs w:val="22"/>
        </w:rPr>
      </w:pPr>
      <w:r w:rsidRPr="00F715E7">
        <w:rPr>
          <w:b/>
          <w:bCs/>
          <w:sz w:val="22"/>
          <w:szCs w:val="22"/>
        </w:rPr>
        <w:t>d. Cuarto concepto de invalidez</w:t>
      </w:r>
      <w:r w:rsidR="00CB5CF8" w:rsidRPr="00F715E7">
        <w:rPr>
          <w:b/>
          <w:bCs/>
          <w:sz w:val="22"/>
          <w:szCs w:val="22"/>
        </w:rPr>
        <w:t>.</w:t>
      </w:r>
    </w:p>
    <w:p w14:paraId="325EE1F5"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7D0F3B1C" w14:textId="76335B28"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 Partido Revolucionario Institucional estim</w:t>
      </w:r>
      <w:r w:rsidR="004241EC" w:rsidRPr="00F715E7">
        <w:rPr>
          <w:sz w:val="22"/>
          <w:szCs w:val="22"/>
        </w:rPr>
        <w:t>ó</w:t>
      </w:r>
      <w:r w:rsidRPr="00F715E7">
        <w:rPr>
          <w:sz w:val="22"/>
          <w:szCs w:val="22"/>
        </w:rPr>
        <w:t xml:space="preserve"> que es indebido e inconstitucional que en el apartado A</w:t>
      </w:r>
      <w:r w:rsidR="004241EC" w:rsidRPr="00F715E7">
        <w:rPr>
          <w:sz w:val="22"/>
          <w:szCs w:val="22"/>
        </w:rPr>
        <w:t>,</w:t>
      </w:r>
      <w:r w:rsidRPr="00F715E7">
        <w:rPr>
          <w:sz w:val="22"/>
          <w:szCs w:val="22"/>
        </w:rPr>
        <w:t xml:space="preserve"> fracción I</w:t>
      </w:r>
      <w:r w:rsidR="004241EC" w:rsidRPr="00F715E7">
        <w:rPr>
          <w:sz w:val="22"/>
          <w:szCs w:val="22"/>
        </w:rPr>
        <w:t>,</w:t>
      </w:r>
      <w:r w:rsidRPr="00F715E7">
        <w:rPr>
          <w:sz w:val="22"/>
          <w:szCs w:val="22"/>
        </w:rPr>
        <w:t xml:space="preserve"> del numeral 50 del Código Electoral del Estado </w:t>
      </w:r>
      <w:r w:rsidR="00B94B87">
        <w:rPr>
          <w:sz w:val="22"/>
          <w:szCs w:val="22"/>
        </w:rPr>
        <w:t xml:space="preserve">de Veracruz </w:t>
      </w:r>
      <w:r w:rsidRPr="00F715E7">
        <w:rPr>
          <w:sz w:val="22"/>
          <w:szCs w:val="22"/>
        </w:rPr>
        <w:t xml:space="preserve">se disminuya el porcentaje del 65% a un 32.5% de la Unidad de Medida de Actualización vigente, para efectos de realizar el cálculo para asignar financiamiento público a los partidos políticos nacionales, pues dicho porcentaje no se ajusta a la base constitucional prevista en el artículo 41 de la Constitución Federal y reiterada en el </w:t>
      </w:r>
      <w:r w:rsidR="006A6F39">
        <w:rPr>
          <w:sz w:val="22"/>
          <w:szCs w:val="22"/>
        </w:rPr>
        <w:t>diverso</w:t>
      </w:r>
      <w:r w:rsidRPr="00F715E7">
        <w:rPr>
          <w:sz w:val="22"/>
          <w:szCs w:val="22"/>
        </w:rPr>
        <w:t xml:space="preserve"> 51 de la Ley General de Partidos Políticos.</w:t>
      </w:r>
    </w:p>
    <w:p w14:paraId="4C5B8979"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6EB5BACD" w14:textId="6E5E4D3C"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En ese sentido, argument</w:t>
      </w:r>
      <w:r w:rsidR="004241EC" w:rsidRPr="00F715E7">
        <w:rPr>
          <w:sz w:val="22"/>
          <w:szCs w:val="22"/>
        </w:rPr>
        <w:t>ó</w:t>
      </w:r>
      <w:r w:rsidRPr="00F715E7">
        <w:rPr>
          <w:sz w:val="22"/>
          <w:szCs w:val="22"/>
        </w:rPr>
        <w:t xml:space="preserve"> que al legislador local le está prohibido reducir el financiamiento en un 50% (al bajar a 32.5% el 65%), pues ello resulta contrario al parámetro de control que dispone la Constitución Federal en su artículo 41, segundo párrafo, fracción II, segundo párrafo, inciso A, por lo que debe de </w:t>
      </w:r>
      <w:r w:rsidR="007608A8" w:rsidRPr="00F715E7">
        <w:rPr>
          <w:sz w:val="22"/>
          <w:szCs w:val="22"/>
        </w:rPr>
        <w:t>entenderse que</w:t>
      </w:r>
      <w:r w:rsidRPr="00F715E7">
        <w:rPr>
          <w:sz w:val="22"/>
          <w:szCs w:val="22"/>
        </w:rPr>
        <w:t xml:space="preserve"> mientras exista aquella base constitucional, el porcentaje fijado en la norma local resulta desproporciona</w:t>
      </w:r>
      <w:r w:rsidR="002F452C" w:rsidRPr="00F715E7">
        <w:rPr>
          <w:sz w:val="22"/>
          <w:szCs w:val="22"/>
        </w:rPr>
        <w:t>l</w:t>
      </w:r>
      <w:r w:rsidRPr="00F715E7">
        <w:rPr>
          <w:sz w:val="22"/>
          <w:szCs w:val="22"/>
        </w:rPr>
        <w:t>, inconstitucional e ilegal.</w:t>
      </w:r>
    </w:p>
    <w:p w14:paraId="4CCC2E20"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501271F1" w14:textId="6CEC35C9"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Con base en lo resuelto por la Suprema Corte</w:t>
      </w:r>
      <w:r w:rsidR="004241EC" w:rsidRPr="00F715E7">
        <w:rPr>
          <w:sz w:val="22"/>
          <w:szCs w:val="22"/>
        </w:rPr>
        <w:t xml:space="preserve"> de Justicia de la Nación</w:t>
      </w:r>
      <w:r w:rsidRPr="00F715E7">
        <w:rPr>
          <w:sz w:val="22"/>
          <w:szCs w:val="22"/>
        </w:rPr>
        <w:t xml:space="preserve"> en la </w:t>
      </w:r>
      <w:r w:rsidR="00CF4B4D">
        <w:rPr>
          <w:sz w:val="22"/>
          <w:szCs w:val="22"/>
        </w:rPr>
        <w:t>a</w:t>
      </w:r>
      <w:r w:rsidRPr="00F715E7">
        <w:rPr>
          <w:sz w:val="22"/>
          <w:szCs w:val="22"/>
        </w:rPr>
        <w:t xml:space="preserve">cción de </w:t>
      </w:r>
      <w:r w:rsidR="00CF4B4D">
        <w:rPr>
          <w:sz w:val="22"/>
          <w:szCs w:val="22"/>
        </w:rPr>
        <w:t>i</w:t>
      </w:r>
      <w:r w:rsidRPr="00F715E7">
        <w:rPr>
          <w:sz w:val="22"/>
          <w:szCs w:val="22"/>
        </w:rPr>
        <w:t>nconstitucionalidad 50/2017, el partido accionante señal</w:t>
      </w:r>
      <w:r w:rsidR="004241EC" w:rsidRPr="00F715E7">
        <w:rPr>
          <w:sz w:val="22"/>
          <w:szCs w:val="22"/>
        </w:rPr>
        <w:t>ó</w:t>
      </w:r>
      <w:r w:rsidRPr="00F715E7">
        <w:rPr>
          <w:sz w:val="22"/>
          <w:szCs w:val="22"/>
        </w:rPr>
        <w:t xml:space="preserve"> que al reducir el financiamiento público, para actividades ordinarias en un 50%, no solo en los años en que no haya proceso electoral, sino también cuando existan elecciones, además de que se contrarían las bases establecidas en los artículos 41, segundo párrafo, fracción II, segundo párrafo, inciso a) y 116, segundo párrafo, fracción IV</w:t>
      </w:r>
      <w:r w:rsidR="00F406F3" w:rsidRPr="00F715E7">
        <w:rPr>
          <w:sz w:val="22"/>
          <w:szCs w:val="22"/>
        </w:rPr>
        <w:t>,</w:t>
      </w:r>
      <w:r w:rsidRPr="00F715E7">
        <w:rPr>
          <w:sz w:val="22"/>
          <w:szCs w:val="22"/>
        </w:rPr>
        <w:t xml:space="preserve"> de la Constitución Política de los Estados Unidos Mexicanos, en relación con </w:t>
      </w:r>
      <w:r w:rsidR="0070768C">
        <w:rPr>
          <w:sz w:val="22"/>
          <w:szCs w:val="22"/>
        </w:rPr>
        <w:t>los</w:t>
      </w:r>
      <w:r w:rsidRPr="00F715E7">
        <w:rPr>
          <w:sz w:val="22"/>
          <w:szCs w:val="22"/>
        </w:rPr>
        <w:t xml:space="preserve"> </w:t>
      </w:r>
      <w:r w:rsidR="0070768C">
        <w:rPr>
          <w:sz w:val="22"/>
          <w:szCs w:val="22"/>
        </w:rPr>
        <w:t>diversos</w:t>
      </w:r>
      <w:r w:rsidRPr="00F715E7">
        <w:rPr>
          <w:sz w:val="22"/>
          <w:szCs w:val="22"/>
        </w:rPr>
        <w:t xml:space="preserve"> 50, fracción I, </w:t>
      </w:r>
      <w:r w:rsidR="0070768C">
        <w:rPr>
          <w:sz w:val="22"/>
          <w:szCs w:val="22"/>
        </w:rPr>
        <w:t xml:space="preserve">y </w:t>
      </w:r>
      <w:r w:rsidRPr="00F715E7">
        <w:rPr>
          <w:sz w:val="22"/>
          <w:szCs w:val="22"/>
        </w:rPr>
        <w:t>51, párrafo 1, apartado  a)</w:t>
      </w:r>
      <w:r w:rsidR="00F406F3" w:rsidRPr="00F715E7">
        <w:rPr>
          <w:sz w:val="22"/>
          <w:szCs w:val="22"/>
        </w:rPr>
        <w:t>,</w:t>
      </w:r>
      <w:r w:rsidRPr="00F715E7">
        <w:rPr>
          <w:sz w:val="22"/>
          <w:szCs w:val="22"/>
        </w:rPr>
        <w:t xml:space="preserve"> fracciones I y </w:t>
      </w:r>
      <w:r w:rsidR="00F406F3" w:rsidRPr="00F715E7">
        <w:rPr>
          <w:sz w:val="22"/>
          <w:szCs w:val="22"/>
        </w:rPr>
        <w:t>II,</w:t>
      </w:r>
      <w:r w:rsidRPr="00F715E7">
        <w:rPr>
          <w:sz w:val="22"/>
          <w:szCs w:val="22"/>
        </w:rPr>
        <w:t xml:space="preserve"> de</w:t>
      </w:r>
      <w:r w:rsidR="00F406F3" w:rsidRPr="00F715E7">
        <w:rPr>
          <w:sz w:val="22"/>
          <w:szCs w:val="22"/>
        </w:rPr>
        <w:t xml:space="preserve"> </w:t>
      </w:r>
      <w:r w:rsidRPr="00F715E7">
        <w:rPr>
          <w:sz w:val="22"/>
          <w:szCs w:val="22"/>
        </w:rPr>
        <w:t>la Ley General de Partidos Políticos, mism</w:t>
      </w:r>
      <w:r w:rsidR="0070768C">
        <w:rPr>
          <w:sz w:val="22"/>
          <w:szCs w:val="22"/>
        </w:rPr>
        <w:t>o</w:t>
      </w:r>
      <w:r w:rsidRPr="00F715E7">
        <w:rPr>
          <w:sz w:val="22"/>
          <w:szCs w:val="22"/>
        </w:rPr>
        <w:t>s</w:t>
      </w:r>
      <w:r w:rsidR="00A77858" w:rsidRPr="00F715E7">
        <w:rPr>
          <w:sz w:val="22"/>
          <w:szCs w:val="22"/>
        </w:rPr>
        <w:t xml:space="preserve"> </w:t>
      </w:r>
      <w:r w:rsidRPr="00F715E7">
        <w:rPr>
          <w:sz w:val="22"/>
          <w:szCs w:val="22"/>
        </w:rPr>
        <w:t>que</w:t>
      </w:r>
      <w:r w:rsidR="00B94D41" w:rsidRPr="00F715E7">
        <w:rPr>
          <w:sz w:val="22"/>
          <w:szCs w:val="22"/>
        </w:rPr>
        <w:t xml:space="preserve"> e</w:t>
      </w:r>
      <w:r w:rsidRPr="00F715E7">
        <w:rPr>
          <w:sz w:val="22"/>
          <w:szCs w:val="22"/>
        </w:rPr>
        <w:t>stablecen</w:t>
      </w:r>
      <w:r w:rsidR="00F416FC" w:rsidRPr="00F715E7">
        <w:rPr>
          <w:sz w:val="22"/>
          <w:szCs w:val="22"/>
        </w:rPr>
        <w:t xml:space="preserve"> </w:t>
      </w:r>
      <w:r w:rsidRPr="00F715E7">
        <w:rPr>
          <w:sz w:val="22"/>
          <w:szCs w:val="22"/>
        </w:rPr>
        <w:t>como</w:t>
      </w:r>
      <w:r w:rsidR="00F416FC" w:rsidRPr="00F715E7">
        <w:rPr>
          <w:sz w:val="22"/>
          <w:szCs w:val="22"/>
        </w:rPr>
        <w:t xml:space="preserve"> </w:t>
      </w:r>
      <w:r w:rsidRPr="00F715E7">
        <w:rPr>
          <w:sz w:val="22"/>
          <w:szCs w:val="22"/>
        </w:rPr>
        <w:t>base</w:t>
      </w:r>
      <w:r w:rsidR="00F416FC" w:rsidRPr="00F715E7">
        <w:rPr>
          <w:sz w:val="22"/>
          <w:szCs w:val="22"/>
        </w:rPr>
        <w:t xml:space="preserve"> </w:t>
      </w:r>
      <w:r w:rsidRPr="00F715E7">
        <w:rPr>
          <w:sz w:val="22"/>
          <w:szCs w:val="22"/>
        </w:rPr>
        <w:t>para el financiamiento de las</w:t>
      </w:r>
      <w:r w:rsidR="00B94D41" w:rsidRPr="00F715E7">
        <w:rPr>
          <w:sz w:val="22"/>
          <w:szCs w:val="22"/>
        </w:rPr>
        <w:t xml:space="preserve"> </w:t>
      </w:r>
      <w:r w:rsidRPr="00F715E7">
        <w:rPr>
          <w:sz w:val="22"/>
          <w:szCs w:val="22"/>
        </w:rPr>
        <w:t xml:space="preserve">actividades ordinarias un 65%, y que ahora, con motivo de las reformas al </w:t>
      </w:r>
      <w:r w:rsidR="0070768C">
        <w:rPr>
          <w:sz w:val="22"/>
          <w:szCs w:val="22"/>
        </w:rPr>
        <w:t>numeral</w:t>
      </w:r>
      <w:r w:rsidRPr="00F715E7">
        <w:rPr>
          <w:sz w:val="22"/>
          <w:szCs w:val="22"/>
        </w:rPr>
        <w:t xml:space="preserve"> 50 del Código  Electoral local, se redujo</w:t>
      </w:r>
      <w:r w:rsidR="004241EC" w:rsidRPr="00F715E7">
        <w:rPr>
          <w:sz w:val="22"/>
          <w:szCs w:val="22"/>
        </w:rPr>
        <w:t xml:space="preserve"> </w:t>
      </w:r>
      <w:r w:rsidRPr="00F715E7">
        <w:rPr>
          <w:sz w:val="22"/>
          <w:szCs w:val="22"/>
        </w:rPr>
        <w:t>a un 32.5%,</w:t>
      </w:r>
      <w:r w:rsidR="00F416FC" w:rsidRPr="00F715E7">
        <w:rPr>
          <w:sz w:val="22"/>
          <w:szCs w:val="22"/>
        </w:rPr>
        <w:t xml:space="preserve"> </w:t>
      </w:r>
      <w:r w:rsidRPr="00F715E7">
        <w:rPr>
          <w:sz w:val="22"/>
          <w:szCs w:val="22"/>
        </w:rPr>
        <w:t xml:space="preserve">es claro que se vulneran las bases constitucional y legal que se habían venido aplicando en el </w:t>
      </w:r>
      <w:r w:rsidR="00895919" w:rsidRPr="00F715E7">
        <w:rPr>
          <w:sz w:val="22"/>
          <w:szCs w:val="22"/>
        </w:rPr>
        <w:t>E</w:t>
      </w:r>
      <w:r w:rsidRPr="00F715E7">
        <w:rPr>
          <w:sz w:val="22"/>
          <w:szCs w:val="22"/>
        </w:rPr>
        <w:t>stado de Veracruz tanto para asignar el financiamiento para actividades ordinarias</w:t>
      </w:r>
      <w:r w:rsidR="00F416FC" w:rsidRPr="00F715E7">
        <w:rPr>
          <w:sz w:val="22"/>
          <w:szCs w:val="22"/>
        </w:rPr>
        <w:t xml:space="preserve"> </w:t>
      </w:r>
      <w:r w:rsidRPr="00F715E7">
        <w:rPr>
          <w:sz w:val="22"/>
          <w:szCs w:val="22"/>
        </w:rPr>
        <w:t>como para actividades específicas</w:t>
      </w:r>
      <w:r w:rsidR="00F416FC" w:rsidRPr="00F715E7">
        <w:rPr>
          <w:sz w:val="22"/>
          <w:szCs w:val="22"/>
        </w:rPr>
        <w:t>,</w:t>
      </w:r>
      <w:r w:rsidRPr="00F715E7">
        <w:rPr>
          <w:sz w:val="22"/>
          <w:szCs w:val="22"/>
        </w:rPr>
        <w:t xml:space="preserve"> como entidades de interés público.</w:t>
      </w:r>
    </w:p>
    <w:p w14:paraId="6EAA0F1A"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0D124F83" w14:textId="01F38DB6" w:rsidR="003C3BCD" w:rsidRPr="00F715E7" w:rsidRDefault="003C3BCD" w:rsidP="0098787A">
      <w:pPr>
        <w:pStyle w:val="Prrafodelista"/>
        <w:widowControl w:val="0"/>
        <w:autoSpaceDE w:val="0"/>
        <w:autoSpaceDN w:val="0"/>
        <w:spacing w:before="0" w:after="0" w:line="240" w:lineRule="auto"/>
        <w:ind w:left="567"/>
        <w:rPr>
          <w:b/>
          <w:bCs/>
          <w:sz w:val="22"/>
          <w:szCs w:val="22"/>
        </w:rPr>
      </w:pPr>
      <w:bookmarkStart w:id="11" w:name="_Hlk100312124"/>
      <w:r w:rsidRPr="00F715E7">
        <w:rPr>
          <w:b/>
          <w:bCs/>
          <w:sz w:val="22"/>
          <w:szCs w:val="22"/>
        </w:rPr>
        <w:t>e. Quinto concepto de invalidez</w:t>
      </w:r>
      <w:r w:rsidR="00CB5CF8" w:rsidRPr="00F715E7">
        <w:rPr>
          <w:b/>
          <w:bCs/>
          <w:sz w:val="22"/>
          <w:szCs w:val="22"/>
        </w:rPr>
        <w:t>.</w:t>
      </w:r>
    </w:p>
    <w:p w14:paraId="1280F9D5" w14:textId="77777777" w:rsidR="003C3BCD" w:rsidRPr="00F715E7" w:rsidRDefault="003C3BCD" w:rsidP="0098787A">
      <w:pPr>
        <w:pStyle w:val="Prrafodelista"/>
        <w:widowControl w:val="0"/>
        <w:autoSpaceDE w:val="0"/>
        <w:autoSpaceDN w:val="0"/>
        <w:spacing w:before="0" w:after="0" w:line="240" w:lineRule="auto"/>
        <w:ind w:left="567"/>
        <w:rPr>
          <w:b/>
          <w:bCs/>
          <w:sz w:val="22"/>
          <w:szCs w:val="22"/>
        </w:rPr>
      </w:pPr>
    </w:p>
    <w:p w14:paraId="78FD1E6B" w14:textId="726C65F5"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El partido accionante señal</w:t>
      </w:r>
      <w:r w:rsidR="00895919" w:rsidRPr="00F715E7">
        <w:rPr>
          <w:sz w:val="22"/>
          <w:szCs w:val="22"/>
        </w:rPr>
        <w:t>ó</w:t>
      </w:r>
      <w:r w:rsidRPr="00F715E7">
        <w:rPr>
          <w:sz w:val="22"/>
          <w:szCs w:val="22"/>
        </w:rPr>
        <w:t xml:space="preserve"> que la reforma al artículo 50, Apartado A, fracción I</w:t>
      </w:r>
      <w:r w:rsidR="00996560">
        <w:rPr>
          <w:sz w:val="22"/>
          <w:szCs w:val="22"/>
        </w:rPr>
        <w:t>,</w:t>
      </w:r>
      <w:r w:rsidRPr="00F715E7">
        <w:rPr>
          <w:sz w:val="22"/>
          <w:szCs w:val="22"/>
        </w:rPr>
        <w:t xml:space="preserve"> del Código Electoral local, relacionada con los </w:t>
      </w:r>
      <w:r w:rsidR="00964F78">
        <w:rPr>
          <w:sz w:val="22"/>
          <w:szCs w:val="22"/>
        </w:rPr>
        <w:t>preceptos</w:t>
      </w:r>
      <w:r w:rsidRPr="00F715E7">
        <w:rPr>
          <w:sz w:val="22"/>
          <w:szCs w:val="22"/>
        </w:rPr>
        <w:t xml:space="preserve"> transitorios segundo y tercero </w:t>
      </w:r>
      <w:r w:rsidRPr="00F715E7">
        <w:rPr>
          <w:sz w:val="22"/>
          <w:szCs w:val="22"/>
        </w:rPr>
        <w:lastRenderedPageBreak/>
        <w:t xml:space="preserve">del Decreto de reformas número 2, que se combate a través de la presente demanda, vulneran </w:t>
      </w:r>
      <w:bookmarkEnd w:id="11"/>
      <w:r w:rsidRPr="00F715E7">
        <w:rPr>
          <w:sz w:val="22"/>
          <w:szCs w:val="22"/>
        </w:rPr>
        <w:t>flagrantemente en perjuicio de los partidos políticos nacionales las bases  constitucionales que permiten el acceso al financiamiento público de los partidos políticos nacionales como "entes de interés público" que se encuentran contempladas en la fracciones I y II, inciso a</w:t>
      </w:r>
      <w:r w:rsidR="00E05C1C" w:rsidRPr="00F715E7">
        <w:rPr>
          <w:sz w:val="22"/>
          <w:szCs w:val="22"/>
        </w:rPr>
        <w:t>)</w:t>
      </w:r>
      <w:r w:rsidRPr="00F715E7">
        <w:rPr>
          <w:sz w:val="22"/>
          <w:szCs w:val="22"/>
        </w:rPr>
        <w:t xml:space="preserve">, del artículo 41 de la Constitución Federal, pues están siendo aplicadas a los partidos nacionales con acreditación ante el Organismo Público Local Electoral del Estado de Veracruz desde el mes de enero de dos mil veintidós, violando con ello la garantía constitucional de irretroactividad de la ley contenida en el </w:t>
      </w:r>
      <w:r w:rsidR="00FE057C">
        <w:rPr>
          <w:sz w:val="22"/>
          <w:szCs w:val="22"/>
        </w:rPr>
        <w:t>diverso</w:t>
      </w:r>
      <w:r w:rsidRPr="00F715E7">
        <w:rPr>
          <w:sz w:val="22"/>
          <w:szCs w:val="22"/>
        </w:rPr>
        <w:t xml:space="preserve"> 14 de la Constitución Federal.</w:t>
      </w:r>
    </w:p>
    <w:p w14:paraId="2184D7FF"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005F257C" w14:textId="42DC98E8"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En su concepto, la modificación de la fórmula para calcular la asignación del financiamiento a los partidos políticos nacionales que está siendo aplicada en el </w:t>
      </w:r>
      <w:r w:rsidR="00C67683" w:rsidRPr="00F715E7">
        <w:rPr>
          <w:sz w:val="22"/>
          <w:szCs w:val="22"/>
        </w:rPr>
        <w:t xml:space="preserve">Estado </w:t>
      </w:r>
      <w:r w:rsidRPr="00F715E7">
        <w:rPr>
          <w:sz w:val="22"/>
          <w:szCs w:val="22"/>
        </w:rPr>
        <w:t>de Veracruz a partir del mes de enero del año dos mil veintidós afecta a los partidos políticos nacionales, ya que no obstante que éstos participaron en la última elección local y conservaron su acreditación ante la autoridad electoral local, con lo cual obtuvieron el derecho para poder intervenir en el proceso comicial siguiente conforme a las bases constitucionales y legales previamente establecidas, además de que por los votos obtenidos en esa última elección, también adquirieron el derecho a que les fueran asignados recursos públicos en un 70% proporcional a los mismos para el desarrollo de sus actividades ordinarias, para las actividades específicas y para gastos de campaña.</w:t>
      </w:r>
    </w:p>
    <w:p w14:paraId="5D2DC356"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3FABAA69" w14:textId="46FBD0D2"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Todo lo anterior de acuerdo al último porcentaje de votos obtenido, en acatamiento al diseño constitucional establecido en el artículo 41 de la Constitución Federal, por lo que es evidente que la aplicación de la reforma en forma </w:t>
      </w:r>
      <w:r w:rsidR="00895919" w:rsidRPr="00F715E7">
        <w:rPr>
          <w:sz w:val="22"/>
          <w:szCs w:val="22"/>
        </w:rPr>
        <w:t>retroactiva</w:t>
      </w:r>
      <w:r w:rsidRPr="00F715E7">
        <w:rPr>
          <w:sz w:val="22"/>
          <w:szCs w:val="22"/>
        </w:rPr>
        <w:t xml:space="preserve"> modifica en perjuicio de los partidos políticos nacionales la asignación del financiamiento público correspondiente al año 2022, al aplicar la modificación de la fórmula de manera inmediata a la entrada en vigor de las reformas al Código Electoral local.</w:t>
      </w:r>
    </w:p>
    <w:p w14:paraId="37B56326"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44A97CF3" w14:textId="4C9A71B9"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También, al establecerse en los artículos transitorios de la reforma al </w:t>
      </w:r>
      <w:r w:rsidR="00512C74">
        <w:rPr>
          <w:sz w:val="22"/>
          <w:szCs w:val="22"/>
        </w:rPr>
        <w:t>numeral</w:t>
      </w:r>
      <w:r w:rsidRPr="00F715E7">
        <w:rPr>
          <w:sz w:val="22"/>
          <w:szCs w:val="22"/>
        </w:rPr>
        <w:t xml:space="preserve"> 50 del Código Electoral local que la modificación a la fórmula para calcular el financiamiento público a los partidos políticos nacionales tenía que ser aplicado para el ejercicio fiscal dos mil veintidós, concluy</w:t>
      </w:r>
      <w:r w:rsidR="00895919" w:rsidRPr="00F715E7">
        <w:rPr>
          <w:sz w:val="22"/>
          <w:szCs w:val="22"/>
        </w:rPr>
        <w:t>ó</w:t>
      </w:r>
      <w:r w:rsidRPr="00F715E7">
        <w:rPr>
          <w:sz w:val="22"/>
          <w:szCs w:val="22"/>
        </w:rPr>
        <w:t xml:space="preserve"> que dicha situación genera la aplicación del nuevo marco normativo en forma retroactiva, en perjuicio de los partidos políticos nacionales, debido a que la asignación del financiamiento público ordinario que se acordó otorgar por parte del Consejo General del Organismo  Público Electoral de Veracruz desde el mes de agosto de 2021 se deriva de su participación en el "último proceso local" y "por haber alcanzado el porcentaje de votación exigido en las bases constitucionales previstas en la base II del artículo 41 de la Constitución Federal".</w:t>
      </w:r>
    </w:p>
    <w:p w14:paraId="352B4F71" w14:textId="77777777" w:rsidR="003C3BCD" w:rsidRPr="00F715E7" w:rsidRDefault="003C3BCD" w:rsidP="0098787A">
      <w:pPr>
        <w:pStyle w:val="Prrafodelista"/>
        <w:widowControl w:val="0"/>
        <w:autoSpaceDE w:val="0"/>
        <w:autoSpaceDN w:val="0"/>
        <w:spacing w:before="0" w:after="0" w:line="240" w:lineRule="auto"/>
        <w:ind w:left="567"/>
        <w:rPr>
          <w:sz w:val="22"/>
          <w:szCs w:val="22"/>
        </w:rPr>
      </w:pPr>
    </w:p>
    <w:p w14:paraId="599381BC" w14:textId="40F9A042" w:rsidR="003C3BCD" w:rsidRPr="00F715E7" w:rsidRDefault="003C3BCD" w:rsidP="0098787A">
      <w:pPr>
        <w:pStyle w:val="Prrafodelista"/>
        <w:widowControl w:val="0"/>
        <w:autoSpaceDE w:val="0"/>
        <w:autoSpaceDN w:val="0"/>
        <w:spacing w:before="0" w:after="0" w:line="240" w:lineRule="auto"/>
        <w:ind w:left="567"/>
        <w:rPr>
          <w:sz w:val="22"/>
          <w:szCs w:val="22"/>
        </w:rPr>
      </w:pPr>
      <w:r w:rsidRPr="00F715E7">
        <w:rPr>
          <w:sz w:val="22"/>
          <w:szCs w:val="22"/>
        </w:rPr>
        <w:t xml:space="preserve">De ahí que tales derechos adquiridos obliguen a observar que la reforma al artículo 50 del Código Electoral local, relacionada con lo dispuesto en los </w:t>
      </w:r>
      <w:r w:rsidR="005C3C1A">
        <w:rPr>
          <w:sz w:val="22"/>
          <w:szCs w:val="22"/>
        </w:rPr>
        <w:t>preceptos</w:t>
      </w:r>
      <w:r w:rsidRPr="00F715E7">
        <w:rPr>
          <w:sz w:val="22"/>
          <w:szCs w:val="22"/>
        </w:rPr>
        <w:t xml:space="preserve"> segundo y tercero transitorios, hacen que dicha modificación afecte situaciones creadas con base en normas legales válidas y vigentes con anterioridad a su expedición, además de que se están cambiando situaciones que ya no pueden ser modificadas con la promulgación de  esta nueva le</w:t>
      </w:r>
      <w:r w:rsidR="00C35444" w:rsidRPr="00F715E7">
        <w:rPr>
          <w:sz w:val="22"/>
          <w:szCs w:val="22"/>
        </w:rPr>
        <w:t>y</w:t>
      </w:r>
      <w:r w:rsidRPr="00F715E7">
        <w:rPr>
          <w:sz w:val="22"/>
          <w:szCs w:val="22"/>
        </w:rPr>
        <w:t>, aun cuando también puedan llegar a ser consideradas como válidas y vigentes.</w:t>
      </w:r>
    </w:p>
    <w:p w14:paraId="789C3500" w14:textId="77777777" w:rsidR="000022A7" w:rsidRPr="00F715E7" w:rsidRDefault="000022A7" w:rsidP="0098787A">
      <w:pPr>
        <w:pStyle w:val="Prrafodelista"/>
        <w:widowControl w:val="0"/>
        <w:autoSpaceDE w:val="0"/>
        <w:autoSpaceDN w:val="0"/>
        <w:spacing w:before="0" w:after="0" w:line="240" w:lineRule="auto"/>
        <w:ind w:left="567"/>
        <w:rPr>
          <w:sz w:val="22"/>
          <w:szCs w:val="22"/>
        </w:rPr>
      </w:pPr>
    </w:p>
    <w:p w14:paraId="43D96E5E" w14:textId="77777777" w:rsidR="00A77858" w:rsidRPr="00F715E7" w:rsidRDefault="00A77858" w:rsidP="0098787A">
      <w:pPr>
        <w:pStyle w:val="Prrafodelista"/>
        <w:widowControl w:val="0"/>
        <w:autoSpaceDE w:val="0"/>
        <w:autoSpaceDN w:val="0"/>
        <w:spacing w:before="0" w:after="0" w:line="240" w:lineRule="auto"/>
        <w:ind w:left="284" w:right="935"/>
        <w:rPr>
          <w:sz w:val="22"/>
          <w:szCs w:val="22"/>
        </w:rPr>
      </w:pPr>
    </w:p>
    <w:p w14:paraId="2A187186" w14:textId="215ED7F2" w:rsidR="00DF2BCD" w:rsidRPr="00F715E7" w:rsidRDefault="000D349C" w:rsidP="00E0735F">
      <w:pPr>
        <w:pStyle w:val="Estilo1"/>
        <w:numPr>
          <w:ilvl w:val="0"/>
          <w:numId w:val="6"/>
        </w:numPr>
        <w:tabs>
          <w:tab w:val="left" w:pos="426"/>
        </w:tabs>
        <w:spacing w:before="0" w:after="0"/>
        <w:ind w:left="0"/>
        <w:rPr>
          <w:sz w:val="26"/>
          <w:szCs w:val="26"/>
        </w:rPr>
      </w:pPr>
      <w:r w:rsidRPr="00F715E7">
        <w:rPr>
          <w:b/>
          <w:sz w:val="26"/>
          <w:szCs w:val="26"/>
        </w:rPr>
        <w:lastRenderedPageBreak/>
        <w:t>Admisión</w:t>
      </w:r>
      <w:r w:rsidR="003A2547" w:rsidRPr="00F715E7">
        <w:rPr>
          <w:b/>
          <w:sz w:val="26"/>
          <w:szCs w:val="26"/>
        </w:rPr>
        <w:t>, acumulación</w:t>
      </w:r>
      <w:r w:rsidRPr="00F715E7">
        <w:rPr>
          <w:b/>
          <w:sz w:val="26"/>
          <w:szCs w:val="26"/>
        </w:rPr>
        <w:t xml:space="preserve"> y trámite</w:t>
      </w:r>
      <w:r w:rsidR="001D3A97" w:rsidRPr="00F715E7">
        <w:rPr>
          <w:b/>
          <w:sz w:val="26"/>
          <w:szCs w:val="26"/>
        </w:rPr>
        <w:t>.</w:t>
      </w:r>
      <w:r w:rsidR="003A2547" w:rsidRPr="00F715E7">
        <w:rPr>
          <w:b/>
          <w:sz w:val="26"/>
          <w:szCs w:val="26"/>
        </w:rPr>
        <w:t xml:space="preserve"> </w:t>
      </w:r>
      <w:r w:rsidR="003A2547" w:rsidRPr="00F715E7">
        <w:rPr>
          <w:sz w:val="26"/>
          <w:szCs w:val="26"/>
        </w:rPr>
        <w:t xml:space="preserve">Mediante acuerdo de veinticuatro de enero de dos mil veintidós, el Ministro Presidente de la Suprema Corte de Justicia de la Nación ordenó formar y registrar el expediente relativo a la acción de inconstitucionalidad 3/2022; </w:t>
      </w:r>
      <w:r w:rsidR="008B13B6" w:rsidRPr="00F715E7">
        <w:rPr>
          <w:sz w:val="26"/>
          <w:szCs w:val="26"/>
        </w:rPr>
        <w:t>asimismo</w:t>
      </w:r>
      <w:r w:rsidR="003A2547" w:rsidRPr="00F715E7">
        <w:rPr>
          <w:sz w:val="26"/>
          <w:szCs w:val="26"/>
        </w:rPr>
        <w:t>, po</w:t>
      </w:r>
      <w:r w:rsidR="008B13B6" w:rsidRPr="00F715E7">
        <w:rPr>
          <w:sz w:val="26"/>
          <w:szCs w:val="26"/>
        </w:rPr>
        <w:t>r</w:t>
      </w:r>
      <w:r w:rsidR="003A2547" w:rsidRPr="00F715E7">
        <w:rPr>
          <w:sz w:val="26"/>
          <w:szCs w:val="26"/>
        </w:rPr>
        <w:t xml:space="preserve"> </w:t>
      </w:r>
      <w:r w:rsidR="008B13B6" w:rsidRPr="00F715E7">
        <w:rPr>
          <w:sz w:val="26"/>
          <w:szCs w:val="26"/>
        </w:rPr>
        <w:t>proveídos</w:t>
      </w:r>
      <w:r w:rsidR="003A2547" w:rsidRPr="00F715E7">
        <w:rPr>
          <w:sz w:val="26"/>
          <w:szCs w:val="26"/>
        </w:rPr>
        <w:t xml:space="preserve"> de veintiocho de enero de dos mil veintidós, ordenó formar y registrar los expedientes relativos a las acciones de inconstitucionalidad 8/2022 y 10/2022;</w:t>
      </w:r>
      <w:r w:rsidR="008B13B6" w:rsidRPr="00F715E7">
        <w:rPr>
          <w:sz w:val="26"/>
          <w:szCs w:val="26"/>
        </w:rPr>
        <w:t xml:space="preserve"> y</w:t>
      </w:r>
      <w:r w:rsidR="003A2547" w:rsidRPr="00F715E7">
        <w:rPr>
          <w:sz w:val="26"/>
          <w:szCs w:val="26"/>
        </w:rPr>
        <w:t xml:space="preserve"> por </w:t>
      </w:r>
      <w:r w:rsidR="008B13B6" w:rsidRPr="00F715E7">
        <w:rPr>
          <w:sz w:val="26"/>
          <w:szCs w:val="26"/>
        </w:rPr>
        <w:t>autos</w:t>
      </w:r>
      <w:r w:rsidR="003A2547" w:rsidRPr="00F715E7">
        <w:rPr>
          <w:sz w:val="26"/>
          <w:szCs w:val="26"/>
        </w:rPr>
        <w:t xml:space="preserve"> de dos de febrero de dos mil veintidós ordenó formar y registrar los expedientes relativos a las acciones de inconstitucionalidad 16/2022 y 17/2022.</w:t>
      </w:r>
    </w:p>
    <w:p w14:paraId="4E8F324F" w14:textId="77777777" w:rsidR="00A85C0C" w:rsidRPr="00F715E7" w:rsidRDefault="00A85C0C" w:rsidP="00E0735F">
      <w:pPr>
        <w:pStyle w:val="Estilo1"/>
        <w:numPr>
          <w:ilvl w:val="0"/>
          <w:numId w:val="0"/>
        </w:numPr>
        <w:tabs>
          <w:tab w:val="left" w:pos="426"/>
        </w:tabs>
        <w:spacing w:before="0" w:after="0"/>
        <w:rPr>
          <w:sz w:val="26"/>
          <w:szCs w:val="26"/>
        </w:rPr>
      </w:pPr>
    </w:p>
    <w:p w14:paraId="1D2C83A4" w14:textId="6782D504" w:rsidR="00DF2BCD" w:rsidRPr="00F715E7" w:rsidRDefault="00120273" w:rsidP="00E0735F">
      <w:pPr>
        <w:pStyle w:val="Estilo1"/>
        <w:numPr>
          <w:ilvl w:val="0"/>
          <w:numId w:val="6"/>
        </w:numPr>
        <w:tabs>
          <w:tab w:val="left" w:pos="426"/>
        </w:tabs>
        <w:spacing w:before="0" w:after="0"/>
        <w:ind w:left="0"/>
        <w:rPr>
          <w:sz w:val="26"/>
          <w:szCs w:val="26"/>
        </w:rPr>
      </w:pPr>
      <w:r w:rsidRPr="00F715E7">
        <w:rPr>
          <w:sz w:val="26"/>
          <w:szCs w:val="26"/>
        </w:rPr>
        <w:t>En</w:t>
      </w:r>
      <w:r w:rsidR="003A2547" w:rsidRPr="00F715E7">
        <w:rPr>
          <w:sz w:val="26"/>
          <w:szCs w:val="26"/>
        </w:rPr>
        <w:t xml:space="preserve"> atención a que en dichas acciones existe identidad en la legislación impugnada, el </w:t>
      </w:r>
      <w:r w:rsidR="005C3C1A">
        <w:rPr>
          <w:sz w:val="26"/>
          <w:szCs w:val="26"/>
        </w:rPr>
        <w:t xml:space="preserve">Ministro </w:t>
      </w:r>
      <w:r w:rsidR="003A2547" w:rsidRPr="00F715E7">
        <w:rPr>
          <w:sz w:val="26"/>
          <w:szCs w:val="26"/>
        </w:rPr>
        <w:t xml:space="preserve">Presidente de </w:t>
      </w:r>
      <w:r w:rsidR="00CB5CF8" w:rsidRPr="00F715E7">
        <w:rPr>
          <w:sz w:val="26"/>
          <w:szCs w:val="26"/>
        </w:rPr>
        <w:t>est</w:t>
      </w:r>
      <w:r w:rsidR="00BD1AB0">
        <w:rPr>
          <w:sz w:val="26"/>
          <w:szCs w:val="26"/>
        </w:rPr>
        <w:t>e Alto Tribunal</w:t>
      </w:r>
      <w:r w:rsidR="005C3C1A">
        <w:rPr>
          <w:sz w:val="26"/>
          <w:szCs w:val="26"/>
        </w:rPr>
        <w:t xml:space="preserve"> </w:t>
      </w:r>
      <w:r w:rsidR="003A2547" w:rsidRPr="00F715E7">
        <w:rPr>
          <w:sz w:val="26"/>
          <w:szCs w:val="26"/>
        </w:rPr>
        <w:t xml:space="preserve">ordenó </w:t>
      </w:r>
      <w:r w:rsidR="003A2547" w:rsidRPr="00F715E7">
        <w:rPr>
          <w:b/>
          <w:bCs/>
          <w:sz w:val="26"/>
          <w:szCs w:val="26"/>
        </w:rPr>
        <w:t>acumular</w:t>
      </w:r>
      <w:r w:rsidR="003A2547" w:rsidRPr="00F715E7">
        <w:rPr>
          <w:sz w:val="26"/>
          <w:szCs w:val="26"/>
        </w:rPr>
        <w:t xml:space="preserve"> los expedientes y</w:t>
      </w:r>
      <w:r w:rsidR="00237493" w:rsidRPr="00F715E7">
        <w:rPr>
          <w:sz w:val="26"/>
          <w:szCs w:val="26"/>
        </w:rPr>
        <w:t>,</w:t>
      </w:r>
      <w:r w:rsidR="003A2547" w:rsidRPr="00F715E7">
        <w:rPr>
          <w:sz w:val="26"/>
          <w:szCs w:val="26"/>
        </w:rPr>
        <w:t xml:space="preserve"> de conformidad con el registro de turno de los asuntos, en términos del artículo 81 del Reglamento Interior de la Suprema Corte de Justicia de la Nación, se designó a la </w:t>
      </w:r>
      <w:r w:rsidR="003A2547" w:rsidRPr="00F715E7">
        <w:rPr>
          <w:b/>
          <w:bCs/>
          <w:sz w:val="26"/>
          <w:szCs w:val="26"/>
        </w:rPr>
        <w:t>Ministra</w:t>
      </w:r>
      <w:r w:rsidR="003A2547" w:rsidRPr="00F715E7">
        <w:rPr>
          <w:sz w:val="26"/>
          <w:szCs w:val="26"/>
        </w:rPr>
        <w:t xml:space="preserve"> </w:t>
      </w:r>
      <w:r w:rsidR="003A2547" w:rsidRPr="00F715E7">
        <w:rPr>
          <w:b/>
          <w:bCs/>
          <w:sz w:val="26"/>
          <w:szCs w:val="26"/>
        </w:rPr>
        <w:t>Loretta Ortiz Ahlf</w:t>
      </w:r>
      <w:r w:rsidR="003A2547" w:rsidRPr="00F715E7">
        <w:rPr>
          <w:sz w:val="26"/>
          <w:szCs w:val="26"/>
        </w:rPr>
        <w:t xml:space="preserve"> como instructora en </w:t>
      </w:r>
      <w:r w:rsidR="00CB5CF8" w:rsidRPr="00F715E7">
        <w:rPr>
          <w:sz w:val="26"/>
          <w:szCs w:val="26"/>
        </w:rPr>
        <w:t xml:space="preserve">todas </w:t>
      </w:r>
      <w:r w:rsidR="003A2547" w:rsidRPr="00F715E7">
        <w:rPr>
          <w:sz w:val="26"/>
          <w:szCs w:val="26"/>
        </w:rPr>
        <w:t>las acciones de inconstitucionalidad referidas.</w:t>
      </w:r>
    </w:p>
    <w:p w14:paraId="7707B768" w14:textId="77777777" w:rsidR="00A85C0C" w:rsidRPr="00F715E7" w:rsidRDefault="00A85C0C" w:rsidP="00E0735F">
      <w:pPr>
        <w:pStyle w:val="Prrafodelista"/>
        <w:spacing w:before="0" w:after="0" w:line="360" w:lineRule="auto"/>
        <w:rPr>
          <w:sz w:val="26"/>
          <w:szCs w:val="26"/>
        </w:rPr>
      </w:pPr>
    </w:p>
    <w:p w14:paraId="6D3BDCB7" w14:textId="10819FB7" w:rsidR="00DF2BCD" w:rsidRPr="00F715E7" w:rsidRDefault="00E91881" w:rsidP="00E0735F">
      <w:pPr>
        <w:pStyle w:val="Estilo1"/>
        <w:numPr>
          <w:ilvl w:val="0"/>
          <w:numId w:val="6"/>
        </w:numPr>
        <w:tabs>
          <w:tab w:val="left" w:pos="426"/>
        </w:tabs>
        <w:spacing w:before="0" w:after="0"/>
        <w:ind w:left="0"/>
        <w:rPr>
          <w:sz w:val="26"/>
          <w:szCs w:val="26"/>
        </w:rPr>
      </w:pPr>
      <w:r w:rsidRPr="00F715E7">
        <w:rPr>
          <w:sz w:val="26"/>
          <w:szCs w:val="26"/>
        </w:rPr>
        <w:t>Debido a lo anterior</w:t>
      </w:r>
      <w:r w:rsidR="00D82DC6" w:rsidRPr="00F715E7">
        <w:rPr>
          <w:sz w:val="26"/>
          <w:szCs w:val="26"/>
        </w:rPr>
        <w:t>,</w:t>
      </w:r>
      <w:r w:rsidRPr="00F715E7">
        <w:rPr>
          <w:sz w:val="26"/>
          <w:szCs w:val="26"/>
        </w:rPr>
        <w:t xml:space="preserve"> en primer término</w:t>
      </w:r>
      <w:r w:rsidR="0050202D" w:rsidRPr="00F715E7">
        <w:rPr>
          <w:sz w:val="26"/>
          <w:szCs w:val="26"/>
        </w:rPr>
        <w:t xml:space="preserve"> y</w:t>
      </w:r>
      <w:r w:rsidRPr="00F715E7">
        <w:rPr>
          <w:sz w:val="26"/>
          <w:szCs w:val="26"/>
        </w:rPr>
        <w:t xml:space="preserve"> por</w:t>
      </w:r>
      <w:r w:rsidR="003A2547" w:rsidRPr="00F715E7">
        <w:rPr>
          <w:sz w:val="26"/>
          <w:szCs w:val="26"/>
        </w:rPr>
        <w:t xml:space="preserve"> acuerdo de dos de febrero de dos mil veintidós,</w:t>
      </w:r>
      <w:r w:rsidR="0050202D" w:rsidRPr="00F715E7">
        <w:rPr>
          <w:sz w:val="26"/>
          <w:szCs w:val="26"/>
        </w:rPr>
        <w:t xml:space="preserve"> la Ministra instructora</w:t>
      </w:r>
      <w:r w:rsidR="003A2547" w:rsidRPr="00F715E7">
        <w:rPr>
          <w:sz w:val="26"/>
          <w:szCs w:val="26"/>
        </w:rPr>
        <w:t xml:space="preserve"> admitió a trámite la demanda identificada bajo el expediente 3/2022 y ordenó (i) requerir al Partido del Trabajo para que precisara si además de la acción de inconstitucionalidad electoral, pretende promover o interponer algún otro medio de defensa; (ii) dar vista a los </w:t>
      </w:r>
      <w:r w:rsidR="00BD1AB0">
        <w:rPr>
          <w:sz w:val="26"/>
          <w:szCs w:val="26"/>
        </w:rPr>
        <w:t>P</w:t>
      </w:r>
      <w:r w:rsidR="003A2547" w:rsidRPr="00F715E7">
        <w:rPr>
          <w:sz w:val="26"/>
          <w:szCs w:val="26"/>
        </w:rPr>
        <w:t>oderes Ejecutivo y Legislativo del Estado de Veracruz para que rindieran sus informes y requerirlos para que señal</w:t>
      </w:r>
      <w:r w:rsidR="00C5524E" w:rsidRPr="00F715E7">
        <w:rPr>
          <w:sz w:val="26"/>
          <w:szCs w:val="26"/>
        </w:rPr>
        <w:t>aran</w:t>
      </w:r>
      <w:r w:rsidR="003A2547" w:rsidRPr="00F715E7">
        <w:rPr>
          <w:sz w:val="26"/>
          <w:szCs w:val="26"/>
        </w:rPr>
        <w:t xml:space="preserve"> domicilio para oír y recibir notificaciones en la Ciudad de México; (iii) requerir </w:t>
      </w:r>
      <w:r w:rsidR="00C5524E" w:rsidRPr="00F715E7">
        <w:rPr>
          <w:sz w:val="26"/>
          <w:szCs w:val="26"/>
        </w:rPr>
        <w:t>a</w:t>
      </w:r>
      <w:r w:rsidR="003A2547" w:rsidRPr="00F715E7">
        <w:rPr>
          <w:sz w:val="26"/>
          <w:szCs w:val="26"/>
        </w:rPr>
        <w:t>l Poder Legislativo del Estado de Veracruz para que remit</w:t>
      </w:r>
      <w:r w:rsidR="00C5524E" w:rsidRPr="00F715E7">
        <w:rPr>
          <w:sz w:val="26"/>
          <w:szCs w:val="26"/>
        </w:rPr>
        <w:t>iera</w:t>
      </w:r>
      <w:r w:rsidR="003A2547" w:rsidRPr="00F715E7">
        <w:rPr>
          <w:sz w:val="26"/>
          <w:szCs w:val="26"/>
        </w:rPr>
        <w:t xml:space="preserve"> copia certificada de los antecedentes legislativos de la norma general impugnada</w:t>
      </w:r>
      <w:r w:rsidR="00F416FC" w:rsidRPr="00F715E7">
        <w:rPr>
          <w:sz w:val="26"/>
          <w:szCs w:val="26"/>
        </w:rPr>
        <w:t>;</w:t>
      </w:r>
      <w:r w:rsidR="003A2547" w:rsidRPr="00F715E7">
        <w:rPr>
          <w:sz w:val="26"/>
          <w:szCs w:val="26"/>
        </w:rPr>
        <w:t xml:space="preserve"> (iv) requerir al Poder Ejecutivo del Estado de Veracruz para que remit</w:t>
      </w:r>
      <w:r w:rsidR="00C5524E" w:rsidRPr="00F715E7">
        <w:rPr>
          <w:sz w:val="26"/>
          <w:szCs w:val="26"/>
        </w:rPr>
        <w:t>iera</w:t>
      </w:r>
      <w:r w:rsidR="003A2547" w:rsidRPr="00F715E7">
        <w:rPr>
          <w:sz w:val="26"/>
          <w:szCs w:val="26"/>
        </w:rPr>
        <w:t xml:space="preserve"> copia certificada </w:t>
      </w:r>
      <w:r w:rsidR="003A2547" w:rsidRPr="00F715E7">
        <w:rPr>
          <w:sz w:val="26"/>
          <w:szCs w:val="26"/>
        </w:rPr>
        <w:lastRenderedPageBreak/>
        <w:t>o el original del Periódico Oficial de Gobierno de la entidad</w:t>
      </w:r>
      <w:r w:rsidR="00F416FC" w:rsidRPr="00F715E7">
        <w:rPr>
          <w:sz w:val="26"/>
          <w:szCs w:val="26"/>
        </w:rPr>
        <w:t>;</w:t>
      </w:r>
      <w:r w:rsidR="003A2547" w:rsidRPr="00F715E7">
        <w:rPr>
          <w:sz w:val="26"/>
          <w:szCs w:val="26"/>
        </w:rPr>
        <w:t xml:space="preserve"> (v) dar vista a la Fiscalía General de la República y a la Consejería Jurídica del Gobierno Federal para que manifestaran lo </w:t>
      </w:r>
      <w:r w:rsidR="00DC3A9C" w:rsidRPr="00F715E7">
        <w:rPr>
          <w:sz w:val="26"/>
          <w:szCs w:val="26"/>
        </w:rPr>
        <w:t>que consideraran pertinente</w:t>
      </w:r>
      <w:r w:rsidR="003A2547" w:rsidRPr="00F715E7">
        <w:rPr>
          <w:sz w:val="26"/>
          <w:szCs w:val="26"/>
        </w:rPr>
        <w:t>; (vi) solicitar la opinión de la Sala Superior del Tribunal Electoral del Poder Judicial de la Federación; (</w:t>
      </w:r>
      <w:proofErr w:type="spellStart"/>
      <w:r w:rsidR="003A2547" w:rsidRPr="00F715E7">
        <w:rPr>
          <w:sz w:val="26"/>
          <w:szCs w:val="26"/>
        </w:rPr>
        <w:t>vii</w:t>
      </w:r>
      <w:proofErr w:type="spellEnd"/>
      <w:r w:rsidR="003A2547" w:rsidRPr="00F715E7">
        <w:rPr>
          <w:sz w:val="26"/>
          <w:szCs w:val="26"/>
        </w:rPr>
        <w:t xml:space="preserve">) requerir al Instituto Nacional Electoral para que remitiera copias certificadas de los estatutos vigentes del Partido del Trabajo, su registro vigente, </w:t>
      </w:r>
      <w:r w:rsidR="00DC3A9C" w:rsidRPr="00F715E7">
        <w:rPr>
          <w:sz w:val="26"/>
          <w:szCs w:val="26"/>
        </w:rPr>
        <w:t xml:space="preserve">así como que informara sobre los </w:t>
      </w:r>
      <w:r w:rsidR="003A2547" w:rsidRPr="00F715E7">
        <w:rPr>
          <w:sz w:val="26"/>
          <w:szCs w:val="26"/>
        </w:rPr>
        <w:t>representantes e integrantes de los órganos de dirección nacional</w:t>
      </w:r>
      <w:r w:rsidR="00BD1AB0">
        <w:rPr>
          <w:sz w:val="26"/>
          <w:szCs w:val="26"/>
        </w:rPr>
        <w:t>;</w:t>
      </w:r>
      <w:r w:rsidR="00F416FC" w:rsidRPr="00F715E7">
        <w:rPr>
          <w:sz w:val="26"/>
          <w:szCs w:val="26"/>
        </w:rPr>
        <w:t xml:space="preserve"> y</w:t>
      </w:r>
      <w:r w:rsidR="00BD1AB0">
        <w:rPr>
          <w:sz w:val="26"/>
          <w:szCs w:val="26"/>
        </w:rPr>
        <w:t>,</w:t>
      </w:r>
      <w:r w:rsidR="003A2547" w:rsidRPr="00F715E7">
        <w:rPr>
          <w:sz w:val="26"/>
          <w:szCs w:val="26"/>
        </w:rPr>
        <w:t xml:space="preserve"> (</w:t>
      </w:r>
      <w:proofErr w:type="spellStart"/>
      <w:r w:rsidR="003A2547" w:rsidRPr="00F715E7">
        <w:rPr>
          <w:sz w:val="26"/>
          <w:szCs w:val="26"/>
        </w:rPr>
        <w:t>viii</w:t>
      </w:r>
      <w:proofErr w:type="spellEnd"/>
      <w:r w:rsidR="003A2547" w:rsidRPr="00F715E7">
        <w:rPr>
          <w:sz w:val="26"/>
          <w:szCs w:val="26"/>
        </w:rPr>
        <w:t>) requerir al Organismo Público Electoral del Estado de Veracruz para que inform</w:t>
      </w:r>
      <w:r w:rsidR="00DC3A9C" w:rsidRPr="00F715E7">
        <w:rPr>
          <w:sz w:val="26"/>
          <w:szCs w:val="26"/>
        </w:rPr>
        <w:t>ara</w:t>
      </w:r>
      <w:r w:rsidR="003A2547" w:rsidRPr="00F715E7">
        <w:rPr>
          <w:sz w:val="26"/>
          <w:szCs w:val="26"/>
        </w:rPr>
        <w:t xml:space="preserve"> la fecha en que inicia el próximo proceso electoral en la entidad.</w:t>
      </w:r>
      <w:bookmarkStart w:id="12" w:name="_Hlk100246846"/>
    </w:p>
    <w:p w14:paraId="10315747" w14:textId="77777777" w:rsidR="00A85C0C" w:rsidRPr="00F715E7" w:rsidRDefault="00A85C0C" w:rsidP="001E1EF8">
      <w:pPr>
        <w:pStyle w:val="Estilo1"/>
        <w:numPr>
          <w:ilvl w:val="0"/>
          <w:numId w:val="0"/>
        </w:numPr>
        <w:tabs>
          <w:tab w:val="left" w:pos="426"/>
        </w:tabs>
        <w:spacing w:before="0" w:after="0"/>
        <w:rPr>
          <w:sz w:val="26"/>
          <w:szCs w:val="26"/>
        </w:rPr>
      </w:pPr>
    </w:p>
    <w:p w14:paraId="4D5C1EC3" w14:textId="6867284D" w:rsidR="00DF2BCD" w:rsidRPr="00F715E7" w:rsidRDefault="00E91881" w:rsidP="0098787A">
      <w:pPr>
        <w:pStyle w:val="Estilo1"/>
        <w:numPr>
          <w:ilvl w:val="0"/>
          <w:numId w:val="6"/>
        </w:numPr>
        <w:tabs>
          <w:tab w:val="left" w:pos="426"/>
        </w:tabs>
        <w:spacing w:before="0" w:after="0"/>
        <w:ind w:left="0"/>
        <w:rPr>
          <w:sz w:val="26"/>
          <w:szCs w:val="26"/>
        </w:rPr>
      </w:pPr>
      <w:r w:rsidRPr="00F715E7">
        <w:rPr>
          <w:sz w:val="26"/>
          <w:szCs w:val="26"/>
        </w:rPr>
        <w:t>En segundo término, m</w:t>
      </w:r>
      <w:r w:rsidR="003A2547" w:rsidRPr="00F715E7">
        <w:rPr>
          <w:sz w:val="26"/>
          <w:szCs w:val="26"/>
        </w:rPr>
        <w:t xml:space="preserve">ediante acuerdo de tres de febrero de dos mil veintidós, la </w:t>
      </w:r>
      <w:r w:rsidR="003A2547" w:rsidRPr="00F715E7">
        <w:rPr>
          <w:sz w:val="26"/>
          <w:szCs w:val="26"/>
          <w:lang w:eastAsia="es-MX"/>
        </w:rPr>
        <w:t xml:space="preserve">Ministra instructora admitió a trámite las demandas identificadas bajo los expedientes 8/2022 y 10/2022, y ordenó (i) dar vista a los </w:t>
      </w:r>
      <w:r w:rsidR="00BD1AB0">
        <w:rPr>
          <w:sz w:val="26"/>
          <w:szCs w:val="26"/>
          <w:lang w:eastAsia="es-MX"/>
        </w:rPr>
        <w:t>P</w:t>
      </w:r>
      <w:r w:rsidR="003A2547" w:rsidRPr="00F715E7">
        <w:rPr>
          <w:sz w:val="26"/>
          <w:szCs w:val="26"/>
          <w:lang w:eastAsia="es-MX"/>
        </w:rPr>
        <w:t>oderes Ejecutivo y Legislativo del Estado de Veracruz para que rindieran sus informes y requerirlos para que señal</w:t>
      </w:r>
      <w:r w:rsidR="0059791F" w:rsidRPr="00F715E7">
        <w:rPr>
          <w:sz w:val="26"/>
          <w:szCs w:val="26"/>
          <w:lang w:eastAsia="es-MX"/>
        </w:rPr>
        <w:t>aran</w:t>
      </w:r>
      <w:r w:rsidR="003A2547" w:rsidRPr="00F715E7">
        <w:rPr>
          <w:sz w:val="26"/>
          <w:szCs w:val="26"/>
          <w:lang w:eastAsia="es-MX"/>
        </w:rPr>
        <w:t xml:space="preserve"> domicilio para oír y recibir notificaciones en la Ciudad de México; (ii) dar vista a la Fiscalía General de la República y a la Consejería Jurídica del Gobierno Federal para que manifestaran </w:t>
      </w:r>
      <w:r w:rsidR="0059791F" w:rsidRPr="00F715E7">
        <w:rPr>
          <w:sz w:val="26"/>
          <w:szCs w:val="26"/>
        </w:rPr>
        <w:t>lo que consideraran pertinente</w:t>
      </w:r>
      <w:r w:rsidR="003A2547" w:rsidRPr="00F715E7">
        <w:rPr>
          <w:sz w:val="26"/>
          <w:szCs w:val="26"/>
          <w:lang w:eastAsia="es-MX"/>
        </w:rPr>
        <w:t>; (iii) solicitar la opinión de la Sala Superior del Tribunal Electoral del Poder Judicial de la Federación</w:t>
      </w:r>
      <w:r w:rsidR="00BD1AB0">
        <w:rPr>
          <w:sz w:val="26"/>
          <w:szCs w:val="26"/>
          <w:lang w:eastAsia="es-MX"/>
        </w:rPr>
        <w:t>;</w:t>
      </w:r>
      <w:r w:rsidR="00F416FC" w:rsidRPr="00F715E7">
        <w:rPr>
          <w:sz w:val="26"/>
          <w:szCs w:val="26"/>
          <w:lang w:eastAsia="es-MX"/>
        </w:rPr>
        <w:t xml:space="preserve"> y</w:t>
      </w:r>
      <w:r w:rsidR="00BD1AB0">
        <w:rPr>
          <w:sz w:val="26"/>
          <w:szCs w:val="26"/>
          <w:lang w:eastAsia="es-MX"/>
        </w:rPr>
        <w:t>,</w:t>
      </w:r>
      <w:r w:rsidR="00F416FC" w:rsidRPr="00F715E7">
        <w:rPr>
          <w:sz w:val="26"/>
          <w:szCs w:val="26"/>
          <w:lang w:eastAsia="es-MX"/>
        </w:rPr>
        <w:t xml:space="preserve"> </w:t>
      </w:r>
      <w:r w:rsidR="003A2547" w:rsidRPr="00F715E7">
        <w:rPr>
          <w:sz w:val="26"/>
          <w:szCs w:val="26"/>
          <w:lang w:eastAsia="es-MX"/>
        </w:rPr>
        <w:t>(</w:t>
      </w:r>
      <w:proofErr w:type="spellStart"/>
      <w:r w:rsidR="003A2547" w:rsidRPr="00F715E7">
        <w:rPr>
          <w:sz w:val="26"/>
          <w:szCs w:val="26"/>
          <w:lang w:eastAsia="es-MX"/>
        </w:rPr>
        <w:t>iv</w:t>
      </w:r>
      <w:proofErr w:type="spellEnd"/>
      <w:r w:rsidR="003A2547" w:rsidRPr="00F715E7">
        <w:rPr>
          <w:sz w:val="26"/>
          <w:szCs w:val="26"/>
          <w:lang w:eastAsia="es-MX"/>
        </w:rPr>
        <w:t>) requerir al Instituto Nacional Electoral para que remitiera copias certificadas de los estatutos vigentes de los partidos accionantes, sus registros vigentes</w:t>
      </w:r>
      <w:r w:rsidR="0059791F" w:rsidRPr="00F715E7">
        <w:rPr>
          <w:sz w:val="26"/>
          <w:szCs w:val="26"/>
          <w:lang w:eastAsia="es-MX"/>
        </w:rPr>
        <w:t xml:space="preserve"> e inform</w:t>
      </w:r>
      <w:r w:rsidR="00DF2BCD" w:rsidRPr="00F715E7">
        <w:rPr>
          <w:sz w:val="26"/>
          <w:szCs w:val="26"/>
          <w:lang w:eastAsia="es-MX"/>
        </w:rPr>
        <w:t>ara</w:t>
      </w:r>
      <w:r w:rsidR="0059791F" w:rsidRPr="00F715E7">
        <w:rPr>
          <w:sz w:val="26"/>
          <w:szCs w:val="26"/>
          <w:lang w:eastAsia="es-MX"/>
        </w:rPr>
        <w:t xml:space="preserve"> sobre los</w:t>
      </w:r>
      <w:r w:rsidR="003A2547" w:rsidRPr="00F715E7">
        <w:rPr>
          <w:sz w:val="26"/>
          <w:szCs w:val="26"/>
          <w:lang w:eastAsia="es-MX"/>
        </w:rPr>
        <w:t xml:space="preserve"> representantes e integrantes de los órganos de dirección nacional</w:t>
      </w:r>
      <w:bookmarkEnd w:id="12"/>
      <w:r w:rsidR="0059791F" w:rsidRPr="00F715E7">
        <w:rPr>
          <w:sz w:val="26"/>
          <w:szCs w:val="26"/>
          <w:lang w:eastAsia="es-MX"/>
        </w:rPr>
        <w:t>, respectivamente.</w:t>
      </w:r>
    </w:p>
    <w:p w14:paraId="0F695239" w14:textId="77777777" w:rsidR="00A85C0C" w:rsidRPr="00F715E7" w:rsidRDefault="00A85C0C" w:rsidP="001E1EF8">
      <w:pPr>
        <w:pStyle w:val="Estilo1"/>
        <w:numPr>
          <w:ilvl w:val="0"/>
          <w:numId w:val="0"/>
        </w:numPr>
        <w:tabs>
          <w:tab w:val="left" w:pos="426"/>
        </w:tabs>
        <w:spacing w:before="0" w:after="0"/>
        <w:rPr>
          <w:sz w:val="26"/>
          <w:szCs w:val="26"/>
        </w:rPr>
      </w:pPr>
    </w:p>
    <w:p w14:paraId="0DCF1875" w14:textId="28503C34" w:rsidR="00DF2BCD" w:rsidRPr="00F715E7" w:rsidRDefault="00CB5CF8" w:rsidP="0098787A">
      <w:pPr>
        <w:pStyle w:val="Estilo1"/>
        <w:numPr>
          <w:ilvl w:val="0"/>
          <w:numId w:val="6"/>
        </w:numPr>
        <w:tabs>
          <w:tab w:val="left" w:pos="426"/>
        </w:tabs>
        <w:spacing w:before="0" w:after="0"/>
        <w:ind w:left="0"/>
        <w:rPr>
          <w:sz w:val="26"/>
          <w:szCs w:val="26"/>
        </w:rPr>
      </w:pPr>
      <w:r w:rsidRPr="00F715E7">
        <w:rPr>
          <w:sz w:val="26"/>
          <w:szCs w:val="26"/>
        </w:rPr>
        <w:t>Y e</w:t>
      </w:r>
      <w:r w:rsidR="00E91881" w:rsidRPr="00F715E7">
        <w:rPr>
          <w:sz w:val="26"/>
          <w:szCs w:val="26"/>
        </w:rPr>
        <w:t>n tercer término, por proveído</w:t>
      </w:r>
      <w:r w:rsidR="003A2547" w:rsidRPr="00F715E7">
        <w:rPr>
          <w:sz w:val="26"/>
          <w:szCs w:val="26"/>
        </w:rPr>
        <w:t xml:space="preserve"> de nueve de febrero de dos mil veintidós, la </w:t>
      </w:r>
      <w:r w:rsidR="003A2547" w:rsidRPr="00F715E7">
        <w:rPr>
          <w:sz w:val="26"/>
          <w:szCs w:val="26"/>
          <w:lang w:eastAsia="es-MX"/>
        </w:rPr>
        <w:t xml:space="preserve">Ministra instructora admitió a trámite las demandas identificadas bajo los expedientes 16/2022 y 17/2022, y ordenó (i) dar vista a los </w:t>
      </w:r>
      <w:r w:rsidR="00BD1AB0">
        <w:rPr>
          <w:sz w:val="26"/>
          <w:szCs w:val="26"/>
          <w:lang w:eastAsia="es-MX"/>
        </w:rPr>
        <w:t>P</w:t>
      </w:r>
      <w:r w:rsidR="003A2547" w:rsidRPr="00F715E7">
        <w:rPr>
          <w:sz w:val="26"/>
          <w:szCs w:val="26"/>
          <w:lang w:eastAsia="es-MX"/>
        </w:rPr>
        <w:t xml:space="preserve">oderes Ejecutivo y Legislativo del Estado de Veracruz para que rindieran sus informes y </w:t>
      </w:r>
      <w:r w:rsidR="003A2547" w:rsidRPr="00F715E7">
        <w:rPr>
          <w:sz w:val="26"/>
          <w:szCs w:val="26"/>
          <w:lang w:eastAsia="es-MX"/>
        </w:rPr>
        <w:lastRenderedPageBreak/>
        <w:t>requerirlos para que señal</w:t>
      </w:r>
      <w:r w:rsidR="00CF1BC7" w:rsidRPr="00F715E7">
        <w:rPr>
          <w:sz w:val="26"/>
          <w:szCs w:val="26"/>
          <w:lang w:eastAsia="es-MX"/>
        </w:rPr>
        <w:t>aran</w:t>
      </w:r>
      <w:r w:rsidR="003A2547" w:rsidRPr="00F715E7">
        <w:rPr>
          <w:sz w:val="26"/>
          <w:szCs w:val="26"/>
          <w:lang w:eastAsia="es-MX"/>
        </w:rPr>
        <w:t xml:space="preserve"> domicilio para oír y recibir notificaciones en la Ciudad de México; (ii) dar vista a la Fiscalía General de la República y a la Consejería Jurídica del Gobierno Federal para que manifestaran </w:t>
      </w:r>
      <w:r w:rsidR="00CF1BC7" w:rsidRPr="00F715E7">
        <w:rPr>
          <w:sz w:val="26"/>
          <w:szCs w:val="26"/>
        </w:rPr>
        <w:t>lo que consideraran pertinente</w:t>
      </w:r>
      <w:r w:rsidR="003A2547" w:rsidRPr="00F715E7">
        <w:rPr>
          <w:sz w:val="26"/>
          <w:szCs w:val="26"/>
          <w:lang w:eastAsia="es-MX"/>
        </w:rPr>
        <w:t>; (iii) solicitar la opinión de la Sala Superior del Tribunal Electoral del Poder Judicial de la Federación</w:t>
      </w:r>
      <w:r w:rsidR="00BD1AB0">
        <w:rPr>
          <w:sz w:val="26"/>
          <w:szCs w:val="26"/>
          <w:lang w:eastAsia="es-MX"/>
        </w:rPr>
        <w:t>;</w:t>
      </w:r>
      <w:r w:rsidR="00F416FC" w:rsidRPr="00F715E7">
        <w:rPr>
          <w:sz w:val="26"/>
          <w:szCs w:val="26"/>
          <w:lang w:eastAsia="es-MX"/>
        </w:rPr>
        <w:t xml:space="preserve"> y</w:t>
      </w:r>
      <w:r w:rsidR="00BD1AB0">
        <w:rPr>
          <w:sz w:val="26"/>
          <w:szCs w:val="26"/>
          <w:lang w:eastAsia="es-MX"/>
        </w:rPr>
        <w:t>,</w:t>
      </w:r>
      <w:r w:rsidR="00F416FC" w:rsidRPr="00F715E7">
        <w:rPr>
          <w:sz w:val="26"/>
          <w:szCs w:val="26"/>
          <w:lang w:eastAsia="es-MX"/>
        </w:rPr>
        <w:t xml:space="preserve"> </w:t>
      </w:r>
      <w:r w:rsidR="003A2547" w:rsidRPr="00F715E7">
        <w:rPr>
          <w:sz w:val="26"/>
          <w:szCs w:val="26"/>
          <w:lang w:eastAsia="es-MX"/>
        </w:rPr>
        <w:t>(</w:t>
      </w:r>
      <w:proofErr w:type="spellStart"/>
      <w:r w:rsidR="003A2547" w:rsidRPr="00F715E7">
        <w:rPr>
          <w:sz w:val="26"/>
          <w:szCs w:val="26"/>
          <w:lang w:eastAsia="es-MX"/>
        </w:rPr>
        <w:t>iv</w:t>
      </w:r>
      <w:proofErr w:type="spellEnd"/>
      <w:r w:rsidR="003A2547" w:rsidRPr="00F715E7">
        <w:rPr>
          <w:sz w:val="26"/>
          <w:szCs w:val="26"/>
          <w:lang w:eastAsia="es-MX"/>
        </w:rPr>
        <w:t>) requerir al Instituto Nacional Electoral para que remitiera copias certificadas de los estatutos vigentes de los partidos accionantes, sus registros vigentes</w:t>
      </w:r>
      <w:r w:rsidR="00CF1BC7" w:rsidRPr="00F715E7">
        <w:rPr>
          <w:sz w:val="26"/>
          <w:szCs w:val="26"/>
          <w:lang w:eastAsia="es-MX"/>
        </w:rPr>
        <w:t xml:space="preserve"> e inform</w:t>
      </w:r>
      <w:r w:rsidR="00DF2BCD" w:rsidRPr="00F715E7">
        <w:rPr>
          <w:sz w:val="26"/>
          <w:szCs w:val="26"/>
          <w:lang w:eastAsia="es-MX"/>
        </w:rPr>
        <w:t>ara</w:t>
      </w:r>
      <w:r w:rsidR="00CF1BC7" w:rsidRPr="00F715E7">
        <w:rPr>
          <w:sz w:val="26"/>
          <w:szCs w:val="26"/>
          <w:lang w:eastAsia="es-MX"/>
        </w:rPr>
        <w:t xml:space="preserve"> sobre los</w:t>
      </w:r>
      <w:r w:rsidR="003A2547" w:rsidRPr="00F715E7">
        <w:rPr>
          <w:sz w:val="26"/>
          <w:szCs w:val="26"/>
          <w:lang w:eastAsia="es-MX"/>
        </w:rPr>
        <w:t xml:space="preserve"> representantes e integrantes de los órganos de dirección nacional</w:t>
      </w:r>
      <w:r w:rsidR="00CF1BC7" w:rsidRPr="00F715E7">
        <w:rPr>
          <w:sz w:val="26"/>
          <w:szCs w:val="26"/>
          <w:lang w:eastAsia="es-MX"/>
        </w:rPr>
        <w:t>, respectivamente.</w:t>
      </w:r>
    </w:p>
    <w:p w14:paraId="6E193B6B" w14:textId="77777777" w:rsidR="00A85C0C" w:rsidRPr="00F715E7" w:rsidRDefault="00A85C0C" w:rsidP="001E1EF8">
      <w:pPr>
        <w:pStyle w:val="Estilo1"/>
        <w:numPr>
          <w:ilvl w:val="0"/>
          <w:numId w:val="0"/>
        </w:numPr>
        <w:tabs>
          <w:tab w:val="left" w:pos="426"/>
        </w:tabs>
        <w:spacing w:before="0" w:after="0"/>
        <w:rPr>
          <w:sz w:val="26"/>
          <w:szCs w:val="26"/>
        </w:rPr>
      </w:pPr>
    </w:p>
    <w:p w14:paraId="5E549B23" w14:textId="51549C5F" w:rsidR="00C27FB3" w:rsidRPr="00F715E7" w:rsidRDefault="00C27FB3" w:rsidP="0098787A">
      <w:pPr>
        <w:pStyle w:val="Estilo1"/>
        <w:numPr>
          <w:ilvl w:val="0"/>
          <w:numId w:val="6"/>
        </w:numPr>
        <w:tabs>
          <w:tab w:val="left" w:pos="426"/>
        </w:tabs>
        <w:spacing w:before="0" w:after="0"/>
        <w:ind w:left="0"/>
        <w:rPr>
          <w:sz w:val="26"/>
          <w:szCs w:val="26"/>
        </w:rPr>
      </w:pPr>
      <w:r w:rsidRPr="00F715E7">
        <w:rPr>
          <w:sz w:val="26"/>
          <w:szCs w:val="26"/>
          <w:lang w:eastAsia="es-MX"/>
        </w:rPr>
        <w:t xml:space="preserve">Atento a lo anterior, por escrito presentado el once de febrero de dos mil veintidós ante la Oficina de Certificación Judicial y Correspondencia de este Alto Tribunal, el Partido del Trabajo, por conducto de los integrantes de su Comisión Coordinadora Nacional, aclaró que su intención sólo es promover la acción de inconstitucionalidad relativa al expediente 3/2022. Lo cual </w:t>
      </w:r>
      <w:r w:rsidR="00B11347" w:rsidRPr="00F715E7">
        <w:rPr>
          <w:sz w:val="26"/>
          <w:szCs w:val="26"/>
          <w:lang w:eastAsia="es-MX"/>
        </w:rPr>
        <w:t>fue acordado de conformidad en auto de cuatro de marzo de este año.</w:t>
      </w:r>
      <w:r w:rsidRPr="00F715E7">
        <w:rPr>
          <w:sz w:val="26"/>
          <w:szCs w:val="26"/>
          <w:lang w:eastAsia="es-MX"/>
        </w:rPr>
        <w:t xml:space="preserve"> </w:t>
      </w:r>
    </w:p>
    <w:p w14:paraId="35FFC19A" w14:textId="77777777" w:rsidR="00A85C0C" w:rsidRPr="00F715E7" w:rsidRDefault="00A85C0C" w:rsidP="001E1EF8">
      <w:pPr>
        <w:pStyle w:val="Estilo1"/>
        <w:numPr>
          <w:ilvl w:val="0"/>
          <w:numId w:val="0"/>
        </w:numPr>
        <w:tabs>
          <w:tab w:val="left" w:pos="426"/>
        </w:tabs>
        <w:spacing w:before="0" w:after="0"/>
        <w:rPr>
          <w:sz w:val="26"/>
          <w:szCs w:val="26"/>
        </w:rPr>
      </w:pPr>
    </w:p>
    <w:p w14:paraId="39E1EF89" w14:textId="059883E6" w:rsidR="000454E8" w:rsidRPr="00F715E7" w:rsidRDefault="00A71BBD" w:rsidP="001E1EF8">
      <w:pPr>
        <w:pStyle w:val="Estilo1"/>
        <w:numPr>
          <w:ilvl w:val="0"/>
          <w:numId w:val="6"/>
        </w:numPr>
        <w:tabs>
          <w:tab w:val="left" w:pos="426"/>
        </w:tabs>
        <w:spacing w:before="0" w:after="0"/>
        <w:ind w:left="0"/>
        <w:rPr>
          <w:sz w:val="26"/>
          <w:szCs w:val="26"/>
          <w:lang w:eastAsia="es-MX"/>
        </w:rPr>
      </w:pPr>
      <w:r w:rsidRPr="00F715E7">
        <w:rPr>
          <w:b/>
          <w:bCs/>
          <w:sz w:val="26"/>
          <w:szCs w:val="26"/>
          <w:lang w:eastAsia="es-MX"/>
        </w:rPr>
        <w:t>Informes del Poder Ejecutivo y Congreso del Estado de Veracruz</w:t>
      </w:r>
      <w:r w:rsidR="00246D39" w:rsidRPr="00F715E7">
        <w:rPr>
          <w:sz w:val="26"/>
          <w:szCs w:val="26"/>
          <w:lang w:eastAsia="es-MX"/>
        </w:rPr>
        <w:t>.</w:t>
      </w:r>
      <w:r w:rsidR="00962B12" w:rsidRPr="00F715E7">
        <w:rPr>
          <w:sz w:val="26"/>
          <w:szCs w:val="26"/>
          <w:lang w:eastAsia="es-MX"/>
        </w:rPr>
        <w:t xml:space="preserve"> </w:t>
      </w:r>
      <w:r w:rsidRPr="00F715E7">
        <w:rPr>
          <w:sz w:val="26"/>
          <w:szCs w:val="26"/>
          <w:lang w:eastAsia="es-MX"/>
        </w:rPr>
        <w:t xml:space="preserve">En sus informes, el Poder Ejecutivo y </w:t>
      </w:r>
      <w:r w:rsidR="003F0C7C">
        <w:rPr>
          <w:sz w:val="26"/>
          <w:szCs w:val="26"/>
          <w:lang w:eastAsia="es-MX"/>
        </w:rPr>
        <w:t xml:space="preserve">el </w:t>
      </w:r>
      <w:r w:rsidRPr="00F715E7">
        <w:rPr>
          <w:sz w:val="26"/>
          <w:szCs w:val="26"/>
          <w:lang w:eastAsia="es-MX"/>
        </w:rPr>
        <w:t xml:space="preserve">Congreso, ambos del </w:t>
      </w:r>
      <w:r w:rsidR="00024372" w:rsidRPr="00F715E7">
        <w:rPr>
          <w:sz w:val="26"/>
          <w:szCs w:val="26"/>
          <w:lang w:eastAsia="es-MX"/>
        </w:rPr>
        <w:t>E</w:t>
      </w:r>
      <w:r w:rsidRPr="00F715E7">
        <w:rPr>
          <w:sz w:val="26"/>
          <w:szCs w:val="26"/>
          <w:lang w:eastAsia="es-MX"/>
        </w:rPr>
        <w:t>stado de Veracruz, expusieron lo siguiente</w:t>
      </w:r>
      <w:r w:rsidR="003F0C7C">
        <w:rPr>
          <w:sz w:val="26"/>
          <w:szCs w:val="26"/>
          <w:lang w:eastAsia="es-MX"/>
        </w:rPr>
        <w:t>:</w:t>
      </w:r>
    </w:p>
    <w:p w14:paraId="7D5E1A35" w14:textId="77777777" w:rsidR="00A71BBD" w:rsidRPr="00F715E7" w:rsidRDefault="00A71BBD" w:rsidP="0098787A">
      <w:pPr>
        <w:pStyle w:val="Estilo1"/>
        <w:numPr>
          <w:ilvl w:val="0"/>
          <w:numId w:val="0"/>
        </w:numPr>
        <w:spacing w:before="0" w:after="0" w:line="240" w:lineRule="auto"/>
        <w:rPr>
          <w:sz w:val="26"/>
          <w:szCs w:val="26"/>
        </w:rPr>
      </w:pPr>
    </w:p>
    <w:p w14:paraId="50D5162D" w14:textId="26C6D30B" w:rsidR="00A71BBD" w:rsidRPr="00F715E7" w:rsidRDefault="00A71BBD" w:rsidP="0098787A">
      <w:pPr>
        <w:pStyle w:val="Prrafodelista"/>
        <w:widowControl w:val="0"/>
        <w:numPr>
          <w:ilvl w:val="0"/>
          <w:numId w:val="8"/>
        </w:numPr>
        <w:tabs>
          <w:tab w:val="left" w:pos="993"/>
        </w:tabs>
        <w:autoSpaceDE w:val="0"/>
        <w:autoSpaceDN w:val="0"/>
        <w:spacing w:before="0" w:after="0" w:line="240" w:lineRule="auto"/>
        <w:ind w:left="284" w:firstLine="0"/>
        <w:rPr>
          <w:b/>
          <w:sz w:val="22"/>
          <w:szCs w:val="22"/>
          <w:lang w:eastAsia="es-MX"/>
        </w:rPr>
      </w:pPr>
      <w:r w:rsidRPr="00F715E7">
        <w:rPr>
          <w:b/>
          <w:sz w:val="22"/>
          <w:szCs w:val="22"/>
        </w:rPr>
        <w:t>Poder Ejecutivo</w:t>
      </w:r>
      <w:r w:rsidRPr="00F715E7">
        <w:rPr>
          <w:b/>
          <w:spacing w:val="-6"/>
          <w:sz w:val="22"/>
          <w:szCs w:val="22"/>
        </w:rPr>
        <w:t xml:space="preserve"> </w:t>
      </w:r>
      <w:r w:rsidRPr="00F715E7">
        <w:rPr>
          <w:b/>
          <w:sz w:val="22"/>
          <w:szCs w:val="22"/>
        </w:rPr>
        <w:t>local</w:t>
      </w:r>
      <w:r w:rsidR="00811083" w:rsidRPr="00F715E7">
        <w:rPr>
          <w:b/>
          <w:sz w:val="22"/>
          <w:szCs w:val="22"/>
        </w:rPr>
        <w:t>.</w:t>
      </w:r>
    </w:p>
    <w:p w14:paraId="19C0A9F8" w14:textId="77777777" w:rsidR="00A71BBD" w:rsidRPr="00F715E7" w:rsidRDefault="00A71BBD" w:rsidP="0098787A">
      <w:pPr>
        <w:pStyle w:val="Prrafodelista"/>
        <w:widowControl w:val="0"/>
        <w:tabs>
          <w:tab w:val="left" w:pos="993"/>
        </w:tabs>
        <w:autoSpaceDE w:val="0"/>
        <w:autoSpaceDN w:val="0"/>
        <w:spacing w:before="0" w:after="0" w:line="240" w:lineRule="auto"/>
        <w:ind w:left="284"/>
        <w:jc w:val="left"/>
        <w:rPr>
          <w:b/>
          <w:sz w:val="22"/>
          <w:szCs w:val="22"/>
        </w:rPr>
      </w:pPr>
    </w:p>
    <w:p w14:paraId="0F455EF8" w14:textId="79E8FF0B"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En primer término, el Poder Ejecutivo local consider</w:t>
      </w:r>
      <w:r w:rsidR="000244CA" w:rsidRPr="00F715E7">
        <w:rPr>
          <w:bCs/>
          <w:sz w:val="22"/>
          <w:szCs w:val="22"/>
        </w:rPr>
        <w:t>ó</w:t>
      </w:r>
      <w:r w:rsidRPr="00F715E7">
        <w:rPr>
          <w:bCs/>
          <w:sz w:val="22"/>
          <w:szCs w:val="22"/>
        </w:rPr>
        <w:t xml:space="preserve"> que los conceptos de invalidez planteados carece</w:t>
      </w:r>
      <w:r w:rsidR="00F406F3" w:rsidRPr="00F715E7">
        <w:rPr>
          <w:bCs/>
          <w:sz w:val="22"/>
          <w:szCs w:val="22"/>
        </w:rPr>
        <w:t>n</w:t>
      </w:r>
      <w:r w:rsidRPr="00F715E7">
        <w:rPr>
          <w:bCs/>
          <w:sz w:val="22"/>
          <w:szCs w:val="22"/>
        </w:rPr>
        <w:t xml:space="preserve"> de argumentos reales, veraces y concretos respecto de la norma impugnada</w:t>
      </w:r>
      <w:r w:rsidR="00357DB7" w:rsidRPr="00F715E7">
        <w:rPr>
          <w:bCs/>
          <w:sz w:val="22"/>
          <w:szCs w:val="22"/>
        </w:rPr>
        <w:t>.</w:t>
      </w:r>
    </w:p>
    <w:p w14:paraId="73591BB2"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3C886012" w14:textId="0DC45438" w:rsidR="00A71BBD" w:rsidRPr="00F715E7" w:rsidRDefault="000244CA"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Apuntó que la</w:t>
      </w:r>
      <w:r w:rsidR="00A71BBD" w:rsidRPr="00F715E7">
        <w:rPr>
          <w:bCs/>
          <w:sz w:val="22"/>
          <w:szCs w:val="22"/>
        </w:rPr>
        <w:t xml:space="preserve"> ineficacia de los argumentos vertidos por los partidos políticos accionantes se sostiene porque se basan en cuestiones subjetivas y que no se constriñen a dilucidar o advertir contrariedad a la Constitución Federal, ni a las leyes que de ella emanan, máxime que el artículo impugnado está en estricto apego a los cuerpos normativos que regulan la materia electoral.</w:t>
      </w:r>
    </w:p>
    <w:p w14:paraId="56DA554D"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11073EBF" w14:textId="02748D4B" w:rsidR="00A71BBD" w:rsidRPr="00F715E7" w:rsidRDefault="000244CA"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Sostuvo</w:t>
      </w:r>
      <w:r w:rsidR="00A71BBD" w:rsidRPr="00F715E7">
        <w:rPr>
          <w:bCs/>
          <w:sz w:val="22"/>
          <w:szCs w:val="22"/>
        </w:rPr>
        <w:t xml:space="preserve"> que contrario a la pretensión de los partidos políticos accionantes, en este caso quienes promueven el medio de control constitucional en el que se actúa no participarán </w:t>
      </w:r>
      <w:r w:rsidR="00A71BBD" w:rsidRPr="00F715E7">
        <w:rPr>
          <w:bCs/>
          <w:sz w:val="22"/>
          <w:szCs w:val="22"/>
        </w:rPr>
        <w:lastRenderedPageBreak/>
        <w:t>en el proceso local extraordinario de dos mil veintidós y, por tanto, el desarrollo de la jornada comicial extraordinaria no les causa alguna afectación.</w:t>
      </w:r>
    </w:p>
    <w:p w14:paraId="5DFEDBB5"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153FA30C" w14:textId="2A7E6DC2"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En ese sentido, argument</w:t>
      </w:r>
      <w:r w:rsidR="000244CA" w:rsidRPr="00F715E7">
        <w:rPr>
          <w:bCs/>
          <w:sz w:val="22"/>
          <w:szCs w:val="22"/>
        </w:rPr>
        <w:t>ó</w:t>
      </w:r>
      <w:r w:rsidRPr="00F715E7">
        <w:rPr>
          <w:bCs/>
          <w:sz w:val="22"/>
          <w:szCs w:val="22"/>
        </w:rPr>
        <w:t xml:space="preserve"> que al no depender los partidos políticos nacionales con registro estatal del financiamiento público para actividades ordinarias durante el proceso electoral extraordinario de dos mil veintidós no se surten los extremos para que el legislador local deba estar sujeto a las reglas y principios previstos en materia electoral, específicamente a que las normas relativas deben ser expedidas al menos noventa días antes del proceso electoral de que se trate.</w:t>
      </w:r>
    </w:p>
    <w:p w14:paraId="455EB33D"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5D0F079F" w14:textId="6BFFAC0C"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En ese orden de ideas, </w:t>
      </w:r>
      <w:r w:rsidR="000244CA" w:rsidRPr="00F715E7">
        <w:rPr>
          <w:bCs/>
          <w:sz w:val="22"/>
          <w:szCs w:val="22"/>
        </w:rPr>
        <w:t xml:space="preserve">indicó que </w:t>
      </w:r>
      <w:r w:rsidRPr="00F715E7">
        <w:rPr>
          <w:bCs/>
          <w:sz w:val="22"/>
          <w:szCs w:val="22"/>
        </w:rPr>
        <w:t>este caso trata sobre una elección municipal extraordinaria y al no haberse realizado alguna modificación legal fundamental no se evidencia la contravención a lo que mandata la Constitución Federal y las leyes generales que de ella emanan.</w:t>
      </w:r>
    </w:p>
    <w:p w14:paraId="24A43E26"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4BF0F40C" w14:textId="2351BD0E"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Por otro lado, </w:t>
      </w:r>
      <w:r w:rsidR="000244CA" w:rsidRPr="00F715E7">
        <w:rPr>
          <w:bCs/>
          <w:sz w:val="22"/>
          <w:szCs w:val="22"/>
        </w:rPr>
        <w:t>estimó</w:t>
      </w:r>
      <w:r w:rsidRPr="00F715E7">
        <w:rPr>
          <w:bCs/>
          <w:sz w:val="22"/>
          <w:szCs w:val="22"/>
        </w:rPr>
        <w:t xml:space="preserve"> que la reforma impugnada no influye de manera negativa en la su</w:t>
      </w:r>
      <w:r w:rsidR="000244CA" w:rsidRPr="00F715E7">
        <w:rPr>
          <w:bCs/>
          <w:sz w:val="22"/>
          <w:szCs w:val="22"/>
        </w:rPr>
        <w:t>b</w:t>
      </w:r>
      <w:r w:rsidRPr="00F715E7">
        <w:rPr>
          <w:bCs/>
          <w:sz w:val="22"/>
          <w:szCs w:val="22"/>
        </w:rPr>
        <w:t xml:space="preserve">stanciación del proceso electoral extraordinario pues no se está excluyendo del Código </w:t>
      </w:r>
      <w:r w:rsidR="000244CA" w:rsidRPr="00F715E7">
        <w:rPr>
          <w:bCs/>
          <w:sz w:val="22"/>
          <w:szCs w:val="22"/>
        </w:rPr>
        <w:t>E</w:t>
      </w:r>
      <w:r w:rsidRPr="00F715E7">
        <w:rPr>
          <w:bCs/>
          <w:sz w:val="22"/>
          <w:szCs w:val="22"/>
        </w:rPr>
        <w:t>lectoral local algún derecho u obligación de hacer o no hacer para efectos del proceso electoral extraordinario porque el código referido sigue protegiendo los principios de equidad, así como lo atinente al financiamiento público a los partidos políticos nacionales con registro estatal para gastos de campaña.</w:t>
      </w:r>
    </w:p>
    <w:p w14:paraId="75CF4BB2"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2C97D59D" w14:textId="161D5DEC"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En otro tema, </w:t>
      </w:r>
      <w:r w:rsidR="000244CA" w:rsidRPr="00F715E7">
        <w:rPr>
          <w:bCs/>
          <w:sz w:val="22"/>
          <w:szCs w:val="22"/>
        </w:rPr>
        <w:t>destacó</w:t>
      </w:r>
      <w:r w:rsidRPr="00F715E7">
        <w:rPr>
          <w:bCs/>
          <w:sz w:val="22"/>
          <w:szCs w:val="22"/>
        </w:rPr>
        <w:t xml:space="preserve"> que los partidos políticos nacionales tienen un mayor ingreso proveniente del orden federal y estatal por concepto de prerrogativas y financiamiento público para gastos de campaña, no así los partidos políticos estatales que solo tienen el ingreso estatal.</w:t>
      </w:r>
    </w:p>
    <w:p w14:paraId="57EABBE1"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63368A64" w14:textId="0BBF7BAE"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Así, el Poder Ejecutivo local consider</w:t>
      </w:r>
      <w:r w:rsidR="000244CA" w:rsidRPr="00F715E7">
        <w:rPr>
          <w:bCs/>
          <w:sz w:val="22"/>
          <w:szCs w:val="22"/>
        </w:rPr>
        <w:t>ó</w:t>
      </w:r>
      <w:r w:rsidRPr="00F715E7">
        <w:rPr>
          <w:bCs/>
          <w:sz w:val="22"/>
          <w:szCs w:val="22"/>
        </w:rPr>
        <w:t xml:space="preserve"> ineficaces los conceptos de invalidez formulados por los partidos políticos al pretender tildar de inequitativa las bases planteadas a la reforma impugnada, no obstante que el parámetro establecido en el Código Electoral local no transgrede ningún principio constitucional en materia electoral porque los promoventes alegan inequidad sin desvirtuar cuestión alguna que afecte la operatividad y funcionamiento de los partidos políticos nacionales y que puede trascender al plano de una contienda electoral al intentar impugnar además el artículo 51 del referido código comicial.</w:t>
      </w:r>
    </w:p>
    <w:p w14:paraId="3E680E7F"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3900F4C1" w14:textId="2547C40A" w:rsidR="00A71BBD" w:rsidRPr="00F715E7" w:rsidRDefault="00A71BBD" w:rsidP="0098787A">
      <w:pPr>
        <w:pStyle w:val="Prrafodelista"/>
        <w:widowControl w:val="0"/>
        <w:tabs>
          <w:tab w:val="left" w:pos="993"/>
        </w:tabs>
        <w:autoSpaceDE w:val="0"/>
        <w:autoSpaceDN w:val="0"/>
        <w:spacing w:before="0" w:after="0" w:line="240" w:lineRule="auto"/>
        <w:ind w:left="284"/>
        <w:rPr>
          <w:sz w:val="22"/>
          <w:szCs w:val="22"/>
        </w:rPr>
      </w:pPr>
      <w:r w:rsidRPr="00F715E7">
        <w:rPr>
          <w:bCs/>
          <w:sz w:val="22"/>
          <w:szCs w:val="22"/>
        </w:rPr>
        <w:t>En otro tema, respecto de la reviviscencia de las normas que la Suprema Corte de Justicia de la Nación declaró inválidas en la acción de inconstitucionalidad 241/2020 y sus acumuladas, el Poder Ejecutivo local desta</w:t>
      </w:r>
      <w:r w:rsidR="000244CA" w:rsidRPr="00F715E7">
        <w:rPr>
          <w:bCs/>
          <w:sz w:val="22"/>
          <w:szCs w:val="22"/>
        </w:rPr>
        <w:t>có</w:t>
      </w:r>
      <w:r w:rsidRPr="00F715E7">
        <w:rPr>
          <w:bCs/>
          <w:sz w:val="22"/>
          <w:szCs w:val="22"/>
        </w:rPr>
        <w:t xml:space="preserve"> que tratándose de actos en los que la Suprema Corte no se pronunció o determinó su sobreseimiento existe la posibilidad de que los mismos puedan ser combatidos a través de un posterior medio de control constitucional.</w:t>
      </w:r>
      <w:r w:rsidR="00E73EDE" w:rsidRPr="00F715E7">
        <w:rPr>
          <w:bCs/>
          <w:sz w:val="22"/>
          <w:szCs w:val="22"/>
        </w:rPr>
        <w:t xml:space="preserve"> </w:t>
      </w:r>
      <w:r w:rsidR="00E73EDE" w:rsidRPr="00F715E7">
        <w:rPr>
          <w:sz w:val="22"/>
          <w:szCs w:val="22"/>
        </w:rPr>
        <w:t xml:space="preserve">Como apoyo a lo anterior, citó la tesis </w:t>
      </w:r>
      <w:r w:rsidR="002D4B09" w:rsidRPr="00F715E7">
        <w:rPr>
          <w:sz w:val="22"/>
          <w:szCs w:val="22"/>
        </w:rPr>
        <w:t xml:space="preserve">P.J. 47/2018 </w:t>
      </w:r>
      <w:r w:rsidR="00E73EDE" w:rsidRPr="00F715E7">
        <w:rPr>
          <w:sz w:val="22"/>
          <w:szCs w:val="22"/>
        </w:rPr>
        <w:t>del Pleno de la Suprema Corte de rubro “CONTROVERSIA CONSTITUCIONAL. SU PROCEDENCIA CONTRA ACTOS IMPUGNADOS EN UNA ANTERIOR EN LA QUE SE SOBRESEYÓ”.</w:t>
      </w:r>
    </w:p>
    <w:p w14:paraId="74BA690D"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2E5D08DE" w14:textId="61C97B1C"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Con base en lo anterior, si en la acción de inconstitucionalidad 241/2020 y sus acumuladas se determinó sobreseer respecto del artículo 50 del Código Electoral local en ese medio de control no hubo pronunciamiento sobre la constitucionalidad de dicho precepto </w:t>
      </w:r>
      <w:r w:rsidR="002D4B09" w:rsidRPr="00F715E7">
        <w:rPr>
          <w:bCs/>
          <w:sz w:val="22"/>
          <w:szCs w:val="22"/>
        </w:rPr>
        <w:t xml:space="preserve">por lo que no es correcto lo alegado </w:t>
      </w:r>
      <w:r w:rsidR="005114ED" w:rsidRPr="00F715E7">
        <w:rPr>
          <w:bCs/>
          <w:sz w:val="22"/>
          <w:szCs w:val="22"/>
        </w:rPr>
        <w:t>e</w:t>
      </w:r>
      <w:r w:rsidR="002D4B09" w:rsidRPr="00F715E7">
        <w:rPr>
          <w:bCs/>
          <w:sz w:val="22"/>
          <w:szCs w:val="22"/>
        </w:rPr>
        <w:t>n</w:t>
      </w:r>
      <w:r w:rsidR="005114ED" w:rsidRPr="00F715E7">
        <w:rPr>
          <w:bCs/>
          <w:sz w:val="22"/>
          <w:szCs w:val="22"/>
        </w:rPr>
        <w:t xml:space="preserve"> </w:t>
      </w:r>
      <w:r w:rsidR="002D4B09" w:rsidRPr="00F715E7">
        <w:rPr>
          <w:bCs/>
          <w:sz w:val="22"/>
          <w:szCs w:val="22"/>
        </w:rPr>
        <w:t xml:space="preserve">el sentido de que </w:t>
      </w:r>
      <w:r w:rsidR="005114ED" w:rsidRPr="00F715E7">
        <w:rPr>
          <w:bCs/>
          <w:sz w:val="22"/>
          <w:szCs w:val="22"/>
        </w:rPr>
        <w:t>se está dando vida a normas declaradas inconstitucionales</w:t>
      </w:r>
      <w:r w:rsidRPr="00F715E7">
        <w:rPr>
          <w:bCs/>
          <w:sz w:val="22"/>
          <w:szCs w:val="22"/>
        </w:rPr>
        <w:t>.</w:t>
      </w:r>
    </w:p>
    <w:p w14:paraId="4229EAEA"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5D25EAAC" w14:textId="5A53CADD"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lastRenderedPageBreak/>
        <w:t>Por otro lado, estim</w:t>
      </w:r>
      <w:r w:rsidR="00E73EDE" w:rsidRPr="00F715E7">
        <w:rPr>
          <w:bCs/>
          <w:sz w:val="22"/>
          <w:szCs w:val="22"/>
        </w:rPr>
        <w:t>ó</w:t>
      </w:r>
      <w:r w:rsidRPr="00F715E7">
        <w:rPr>
          <w:bCs/>
          <w:sz w:val="22"/>
          <w:szCs w:val="22"/>
        </w:rPr>
        <w:t xml:space="preserve"> inatendible el argumento relacionado con que la norma impugnada fue emitida dentro del proceso local electoral ordinario dado que el hecho de que dicha norma no fue supuestamente publicada con la debida anticipación, pues existe criterio establecido por la Suprema Corte sobre la excepción al principio que establece que las normas electorales deben ser expedidas al menos noventa días antes del proceso electoral del que se trata, ordinario o extraordinario.</w:t>
      </w:r>
    </w:p>
    <w:p w14:paraId="12A8B642"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6D64B96C"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Entonces, al no haberse efectuado una modificación legal fundamental al Código electoral local que pudiera influir de una forma u otra en el proceso electoral extraordinario que inició el cinco de enero de dos mil veintidós, no se violó lo dispuesto por la Constitución Federal ni las leyes electorales.</w:t>
      </w:r>
    </w:p>
    <w:p w14:paraId="4C2A4DF5"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0DFD953C" w14:textId="2A179AEC"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Por otra parte, </w:t>
      </w:r>
      <w:r w:rsidR="00E73EDE" w:rsidRPr="00F715E7">
        <w:rPr>
          <w:bCs/>
          <w:sz w:val="22"/>
          <w:szCs w:val="22"/>
        </w:rPr>
        <w:t>consideró</w:t>
      </w:r>
      <w:r w:rsidRPr="00F715E7">
        <w:rPr>
          <w:bCs/>
          <w:sz w:val="22"/>
          <w:szCs w:val="22"/>
        </w:rPr>
        <w:t xml:space="preserve"> inatendible el concepto de invalidez relacionado con la omisión de haber realizado la consulta previa a los pueblos y comunidades indígenas respecto del financiamiento a los partidos políticos nacionales con registro estatal.</w:t>
      </w:r>
    </w:p>
    <w:p w14:paraId="5452E17B"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0AA11EDA" w14:textId="575D6C32"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Lo anterior es así porque con la reforma impugnada no se </w:t>
      </w:r>
      <w:r w:rsidR="00E73EDE" w:rsidRPr="00F715E7">
        <w:rPr>
          <w:bCs/>
          <w:sz w:val="22"/>
          <w:szCs w:val="22"/>
        </w:rPr>
        <w:t>advirtió</w:t>
      </w:r>
      <w:r w:rsidRPr="00F715E7">
        <w:rPr>
          <w:bCs/>
          <w:sz w:val="22"/>
          <w:szCs w:val="22"/>
        </w:rPr>
        <w:t xml:space="preserve"> que se trastoquen, vulneren o transgredan los derechos de los pueblos y comunidades indígenas ni mucho menos que el financiamiento para actividades ordinarias a los partidos políticos nacionales con registro estatal afecte o vincule a los intereses de los pueblos y comunidades indígenas.</w:t>
      </w:r>
    </w:p>
    <w:p w14:paraId="62294BA3"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6547A021" w14:textId="788F7D4B"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Finalmente, estim</w:t>
      </w:r>
      <w:r w:rsidR="00E73EDE" w:rsidRPr="00F715E7">
        <w:rPr>
          <w:bCs/>
          <w:sz w:val="22"/>
          <w:szCs w:val="22"/>
        </w:rPr>
        <w:t>ó</w:t>
      </w:r>
      <w:r w:rsidRPr="00F715E7">
        <w:rPr>
          <w:bCs/>
          <w:sz w:val="22"/>
          <w:szCs w:val="22"/>
        </w:rPr>
        <w:t xml:space="preserve"> que en este caso no se actualiza una circunstancia que implique una vulneración de los derechos de los pueblos y comunidades indígenas con la reforma impugnada por lo que se solicit</w:t>
      </w:r>
      <w:r w:rsidR="000A3959" w:rsidRPr="00F715E7">
        <w:rPr>
          <w:bCs/>
          <w:sz w:val="22"/>
          <w:szCs w:val="22"/>
        </w:rPr>
        <w:t>ó</w:t>
      </w:r>
      <w:r w:rsidRPr="00F715E7">
        <w:rPr>
          <w:bCs/>
          <w:sz w:val="22"/>
          <w:szCs w:val="22"/>
        </w:rPr>
        <w:t xml:space="preserve"> declarar inoperante el argumento planteado por el Partido Revolucionario Institucional. </w:t>
      </w:r>
    </w:p>
    <w:p w14:paraId="07D6EBC2" w14:textId="77777777" w:rsidR="00A71BBD" w:rsidRPr="00F715E7" w:rsidRDefault="00A71BBD" w:rsidP="001E1EF8">
      <w:pPr>
        <w:pStyle w:val="Textoindependiente"/>
        <w:tabs>
          <w:tab w:val="left" w:pos="993"/>
        </w:tabs>
        <w:spacing w:after="0"/>
        <w:ind w:left="284"/>
        <w:jc w:val="both"/>
        <w:rPr>
          <w:rFonts w:ascii="Arial" w:hAnsi="Arial" w:cs="Arial"/>
          <w:b/>
          <w:sz w:val="22"/>
          <w:szCs w:val="22"/>
        </w:rPr>
      </w:pPr>
    </w:p>
    <w:p w14:paraId="320D268A" w14:textId="4A15EF0E" w:rsidR="00A71BBD" w:rsidRPr="00F715E7" w:rsidRDefault="00A71BBD" w:rsidP="001E1EF8">
      <w:pPr>
        <w:tabs>
          <w:tab w:val="left" w:pos="993"/>
        </w:tabs>
        <w:spacing w:before="0" w:after="0"/>
        <w:ind w:left="284"/>
        <w:rPr>
          <w:b/>
          <w:sz w:val="22"/>
          <w:szCs w:val="22"/>
        </w:rPr>
      </w:pPr>
      <w:r w:rsidRPr="00F715E7">
        <w:rPr>
          <w:b/>
          <w:sz w:val="22"/>
          <w:szCs w:val="22"/>
        </w:rPr>
        <w:t>b. Congreso local</w:t>
      </w:r>
      <w:r w:rsidR="00811083" w:rsidRPr="00F715E7">
        <w:rPr>
          <w:rStyle w:val="Refdenotaalpie"/>
          <w:b/>
          <w:sz w:val="22"/>
          <w:szCs w:val="22"/>
        </w:rPr>
        <w:footnoteReference w:id="4"/>
      </w:r>
    </w:p>
    <w:p w14:paraId="3D8C4B68" w14:textId="162AAD51" w:rsidR="00A71BBD" w:rsidRPr="00F715E7" w:rsidRDefault="005E34A6"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E</w:t>
      </w:r>
      <w:r w:rsidR="00A71BBD" w:rsidRPr="00F715E7">
        <w:rPr>
          <w:bCs/>
          <w:sz w:val="22"/>
          <w:szCs w:val="22"/>
        </w:rPr>
        <w:t>n el informe del legislativo local atinente a las acciones de inconstitucionalidad 16/2022 y 17/2022, el Congreso local señal</w:t>
      </w:r>
      <w:r w:rsidR="00424504" w:rsidRPr="00F715E7">
        <w:rPr>
          <w:bCs/>
          <w:sz w:val="22"/>
          <w:szCs w:val="22"/>
        </w:rPr>
        <w:t>ó</w:t>
      </w:r>
      <w:r w:rsidR="00A71BBD" w:rsidRPr="00F715E7">
        <w:rPr>
          <w:bCs/>
          <w:sz w:val="22"/>
          <w:szCs w:val="22"/>
        </w:rPr>
        <w:t xml:space="preserve"> que la reforma legal tiene como finalidad continuar con el cuidado estricto de los recursos fiscales correspondientes a la Hacienda Estatal, con la finalidad de cumplir con el criterio de racionalidad y de estricta disciplina financiera, establecido en el artículo 72</w:t>
      </w:r>
      <w:r w:rsidR="0076708F">
        <w:rPr>
          <w:bCs/>
          <w:sz w:val="22"/>
          <w:szCs w:val="22"/>
        </w:rPr>
        <w:t>,</w:t>
      </w:r>
      <w:r w:rsidR="00A71BBD" w:rsidRPr="00F715E7">
        <w:rPr>
          <w:bCs/>
          <w:sz w:val="22"/>
          <w:szCs w:val="22"/>
        </w:rPr>
        <w:t xml:space="preserve"> tercer párrafo, de la Constitución Política </w:t>
      </w:r>
      <w:r w:rsidR="00424504" w:rsidRPr="00F715E7">
        <w:rPr>
          <w:bCs/>
          <w:sz w:val="22"/>
          <w:szCs w:val="22"/>
        </w:rPr>
        <w:t>l</w:t>
      </w:r>
      <w:r w:rsidR="00A71BBD" w:rsidRPr="00F715E7">
        <w:rPr>
          <w:bCs/>
          <w:sz w:val="22"/>
          <w:szCs w:val="22"/>
        </w:rPr>
        <w:t xml:space="preserve">ocal; y que sirven para sustentar los gastos que, entre otros, se destinan a los partidos políticos nacionales en la entidad, como ya se ha hecho antes en otras entidades federativas, la reforma consistente en que a los partidos políticos locales se les mantenga el porcentaje para el cálculo del financiamiento público que dispone el </w:t>
      </w:r>
      <w:r w:rsidR="0076708F">
        <w:rPr>
          <w:bCs/>
          <w:sz w:val="22"/>
          <w:szCs w:val="22"/>
        </w:rPr>
        <w:t>numeral</w:t>
      </w:r>
      <w:r w:rsidR="00A71BBD" w:rsidRPr="00F715E7">
        <w:rPr>
          <w:bCs/>
          <w:sz w:val="22"/>
          <w:szCs w:val="22"/>
        </w:rPr>
        <w:t xml:space="preserve"> 51 de la Ley General de Partidos Políticos, en tanto que, en ejercicio de la reserva y libertad configurativa correspondiente a los Estados de la República, es perfectamente constitucional y legal adecuar el porcentaje que reciben los </w:t>
      </w:r>
      <w:r w:rsidR="00424504" w:rsidRPr="00F715E7">
        <w:rPr>
          <w:bCs/>
          <w:sz w:val="22"/>
          <w:szCs w:val="22"/>
        </w:rPr>
        <w:t>p</w:t>
      </w:r>
      <w:r w:rsidR="00A71BBD" w:rsidRPr="00F715E7">
        <w:rPr>
          <w:bCs/>
          <w:sz w:val="22"/>
          <w:szCs w:val="22"/>
        </w:rPr>
        <w:t xml:space="preserve">artidos </w:t>
      </w:r>
      <w:r w:rsidR="00424504" w:rsidRPr="00F715E7">
        <w:rPr>
          <w:bCs/>
          <w:sz w:val="22"/>
          <w:szCs w:val="22"/>
        </w:rPr>
        <w:t>p</w:t>
      </w:r>
      <w:r w:rsidR="00A71BBD" w:rsidRPr="00F715E7">
        <w:rPr>
          <w:bCs/>
          <w:sz w:val="22"/>
          <w:szCs w:val="22"/>
        </w:rPr>
        <w:t xml:space="preserve">olíticos </w:t>
      </w:r>
      <w:r w:rsidR="00424504" w:rsidRPr="00F715E7">
        <w:rPr>
          <w:bCs/>
          <w:sz w:val="22"/>
          <w:szCs w:val="22"/>
        </w:rPr>
        <w:t>n</w:t>
      </w:r>
      <w:r w:rsidR="00A71BBD" w:rsidRPr="00F715E7">
        <w:rPr>
          <w:bCs/>
          <w:sz w:val="22"/>
          <w:szCs w:val="22"/>
        </w:rPr>
        <w:t xml:space="preserve">acionales en cada </w:t>
      </w:r>
      <w:r w:rsidR="00424504" w:rsidRPr="00F715E7">
        <w:rPr>
          <w:bCs/>
          <w:sz w:val="22"/>
          <w:szCs w:val="22"/>
        </w:rPr>
        <w:t>e</w:t>
      </w:r>
      <w:r w:rsidR="00A71BBD" w:rsidRPr="00F715E7">
        <w:rPr>
          <w:bCs/>
          <w:sz w:val="22"/>
          <w:szCs w:val="22"/>
        </w:rPr>
        <w:t xml:space="preserve">ntidad </w:t>
      </w:r>
      <w:r w:rsidR="00424504" w:rsidRPr="00F715E7">
        <w:rPr>
          <w:bCs/>
          <w:sz w:val="22"/>
          <w:szCs w:val="22"/>
        </w:rPr>
        <w:t>f</w:t>
      </w:r>
      <w:r w:rsidR="00A71BBD" w:rsidRPr="00F715E7">
        <w:rPr>
          <w:bCs/>
          <w:sz w:val="22"/>
          <w:szCs w:val="22"/>
        </w:rPr>
        <w:t>ederativa.</w:t>
      </w:r>
    </w:p>
    <w:p w14:paraId="4A35B55D"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097B8FCC" w14:textId="173BD23C"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lastRenderedPageBreak/>
        <w:t>En ese sentido, se estim</w:t>
      </w:r>
      <w:r w:rsidR="00424504" w:rsidRPr="00F715E7">
        <w:rPr>
          <w:bCs/>
          <w:sz w:val="22"/>
          <w:szCs w:val="22"/>
        </w:rPr>
        <w:t>ó</w:t>
      </w:r>
      <w:r w:rsidRPr="00F715E7">
        <w:rPr>
          <w:bCs/>
          <w:sz w:val="22"/>
          <w:szCs w:val="22"/>
        </w:rPr>
        <w:t xml:space="preserve"> que en las normas constitucionales federales atinentes al financiamiento público que tienen derecho a recibir los partidos políticos, como entidades de interés público, sólo existen reglas expresas para la procedencia de dicho financiamiento y para la determinación de los montos económicos a distribuir para el caso de los partidos políticos, pero únicamente tratándose de financiamiento público federal, consistentes dichas reglas en que se cumpla el requisito de mantener el registro después de cada elección.</w:t>
      </w:r>
    </w:p>
    <w:p w14:paraId="644844DF"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43870EF4" w14:textId="2B9F3AC4" w:rsidR="00A71BBD" w:rsidRPr="00F715E7" w:rsidRDefault="00424504"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L</w:t>
      </w:r>
      <w:r w:rsidR="00A71BBD" w:rsidRPr="00F715E7">
        <w:rPr>
          <w:bCs/>
          <w:sz w:val="22"/>
          <w:szCs w:val="22"/>
        </w:rPr>
        <w:t xml:space="preserve">as entidades federativas cuentan con libertad de configuración legislativa, en lo referente al establecimiento de reglas para la determinación del financiamiento público local para las actividades ordinarias permanentes de los partidos políticos nacionales, en términos del transcrito y analizado artículo 52, párrafo 2, de la Ley General de Partidos Políticos, y toda vez que pleno de la Suprema  Corte de Justicia de la Nación, al resolver acciones de inconstitucionalidad presentadas en contra de reformas legales en la materia en los </w:t>
      </w:r>
      <w:r w:rsidR="005E6E6D">
        <w:rPr>
          <w:bCs/>
          <w:sz w:val="22"/>
          <w:szCs w:val="22"/>
        </w:rPr>
        <w:t>E</w:t>
      </w:r>
      <w:r w:rsidR="00A71BBD" w:rsidRPr="00F715E7">
        <w:rPr>
          <w:bCs/>
          <w:sz w:val="22"/>
          <w:szCs w:val="22"/>
        </w:rPr>
        <w:t>stados de Tabasco y Jalisco, en las que, a juicio del iniciante, se confirma la posibilidad de que las entidades federativas establezcan reglas diferenciadas para determinar el financiamiento público estatal destinado a los partidos políticos locales.</w:t>
      </w:r>
    </w:p>
    <w:p w14:paraId="2F558EB8"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0050E7CA" w14:textId="33F6C8EB"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En consecuencia, ante la libertad de configuración de la que gozan las entidades federativas, conforme al artículo 116, fracción IV, inciso g), de la Constitución Federal, en relación con el numeral 52, punto 2, de la Ley General de Partidos Políticos, en el establecimiento del financiamiento público de los partidos políticos nacionales que hayan obtenido el tres por ciento de la votación válida emitida en el proceso electoral local anterior en la entidad federativa de que se trate; </w:t>
      </w:r>
      <w:r w:rsidR="0070030B" w:rsidRPr="00F715E7">
        <w:rPr>
          <w:bCs/>
          <w:sz w:val="22"/>
          <w:szCs w:val="22"/>
        </w:rPr>
        <w:t>a su juicio son</w:t>
      </w:r>
      <w:r w:rsidRPr="00F715E7">
        <w:rPr>
          <w:bCs/>
          <w:sz w:val="22"/>
          <w:szCs w:val="22"/>
        </w:rPr>
        <w:t xml:space="preserve"> infundados los conceptos en los que se aduce violación a lo dispuesto en tales preceptos e incluso al artículo 51 de la aludida Ley General, en tanto dicho precepto se refiere exclusivamente al financiamiento público de los partidos locales y, al financiamiento público federal</w:t>
      </w:r>
      <w:r w:rsidR="0070030B" w:rsidRPr="00F715E7">
        <w:rPr>
          <w:bCs/>
          <w:sz w:val="22"/>
          <w:szCs w:val="22"/>
        </w:rPr>
        <w:t xml:space="preserve"> </w:t>
      </w:r>
      <w:r w:rsidRPr="00F715E7">
        <w:rPr>
          <w:bCs/>
          <w:sz w:val="22"/>
          <w:szCs w:val="22"/>
        </w:rPr>
        <w:t xml:space="preserve">para </w:t>
      </w:r>
      <w:r w:rsidR="0077053C" w:rsidRPr="00F715E7">
        <w:rPr>
          <w:bCs/>
          <w:sz w:val="22"/>
          <w:szCs w:val="22"/>
        </w:rPr>
        <w:t xml:space="preserve">los </w:t>
      </w:r>
      <w:r w:rsidRPr="00F715E7">
        <w:rPr>
          <w:bCs/>
          <w:sz w:val="22"/>
          <w:szCs w:val="22"/>
        </w:rPr>
        <w:t>partidos nacionales que contienden en elecciones federales.</w:t>
      </w:r>
      <w:r w:rsidR="0077053C" w:rsidRPr="00F715E7">
        <w:rPr>
          <w:bCs/>
          <w:sz w:val="22"/>
          <w:szCs w:val="22"/>
        </w:rPr>
        <w:t xml:space="preserve"> </w:t>
      </w:r>
    </w:p>
    <w:p w14:paraId="3AD8D3AD"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2B3D5C88" w14:textId="38BD5426"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Finalmente, en vista de lo previsto en el artículo cuarto transitorio, respecto de la estimación del impacto presupuestario de reformar el </w:t>
      </w:r>
      <w:r w:rsidR="00813F65">
        <w:rPr>
          <w:bCs/>
          <w:sz w:val="22"/>
          <w:szCs w:val="22"/>
        </w:rPr>
        <w:t xml:space="preserve">numeral </w:t>
      </w:r>
      <w:r w:rsidRPr="00F715E7">
        <w:rPr>
          <w:bCs/>
          <w:sz w:val="22"/>
          <w:szCs w:val="22"/>
        </w:rPr>
        <w:t xml:space="preserve">50 del Código Electoral para el Estado, la Comisión dictaminadora, en su momento solicitó por escrito la información correspondiente a la Secretaria de Finanzas y Planeación del Gobierno del Estado, resultando que, tomando en cuenta la modificación a la fórmula para calcular el monto del financiamiento de Partidos Políticos Nacionales con financiamiento local, pasando del 65% al 32.5% del valor de la Unidad de Medida y Actualización vigente, la cual reduce en $176,217,393.00 (Ciento setenta y seis millones doscientos diecisiete mil trescientos noventa y tres pesos 98/100 M.N.) dicho financiamiento público, se identificó que dicha modificación se reflejarla en una disminución al rubro de Transferencias Asignaciones, Subsidios y Otras Ayudas en el presupuesto del Organismo para quedar en $212,845,655.02 (Doscientos doce millones ochocientos cuarenta y cinco mil seiscientos cincuenta y cinco pesos 00/100 M.N.). Lo anterior, revela la importancia de la reforma en función de su impacto presupuestario favorable para las finanzas públicas estatales, que permitiría eficacia y </w:t>
      </w:r>
      <w:r w:rsidR="00CD3D12" w:rsidRPr="00F715E7">
        <w:rPr>
          <w:bCs/>
          <w:sz w:val="22"/>
          <w:szCs w:val="22"/>
        </w:rPr>
        <w:t>reorientación</w:t>
      </w:r>
      <w:r w:rsidRPr="00F715E7">
        <w:rPr>
          <w:bCs/>
          <w:sz w:val="22"/>
          <w:szCs w:val="22"/>
        </w:rPr>
        <w:t xml:space="preserve"> </w:t>
      </w:r>
      <w:r w:rsidR="00CD3D12" w:rsidRPr="00F715E7">
        <w:rPr>
          <w:bCs/>
          <w:sz w:val="22"/>
          <w:szCs w:val="22"/>
        </w:rPr>
        <w:t>d</w:t>
      </w:r>
      <w:r w:rsidRPr="00F715E7">
        <w:rPr>
          <w:bCs/>
          <w:sz w:val="22"/>
          <w:szCs w:val="22"/>
        </w:rPr>
        <w:t>el gasto público, bajo la premisa de atender las demandas prioritarias en aquello que fomente el desarrollo social y económico de la entidad veracruzana.</w:t>
      </w:r>
    </w:p>
    <w:p w14:paraId="0D5DEB1D" w14:textId="77777777" w:rsidR="00A71BBD" w:rsidRPr="00F715E7" w:rsidRDefault="00A71BBD" w:rsidP="0098787A">
      <w:pPr>
        <w:widowControl w:val="0"/>
        <w:tabs>
          <w:tab w:val="left" w:pos="993"/>
        </w:tabs>
        <w:autoSpaceDE w:val="0"/>
        <w:autoSpaceDN w:val="0"/>
        <w:spacing w:before="0" w:after="0" w:line="240" w:lineRule="auto"/>
        <w:rPr>
          <w:bCs/>
          <w:sz w:val="22"/>
          <w:szCs w:val="22"/>
        </w:rPr>
      </w:pPr>
    </w:p>
    <w:p w14:paraId="671161A5" w14:textId="395365C8" w:rsidR="00A71BBD" w:rsidRPr="00F715E7" w:rsidRDefault="00BA27C1"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El </w:t>
      </w:r>
      <w:r w:rsidR="00A71BBD" w:rsidRPr="00F715E7">
        <w:rPr>
          <w:bCs/>
          <w:sz w:val="22"/>
          <w:szCs w:val="22"/>
        </w:rPr>
        <w:t>Congreso local señal</w:t>
      </w:r>
      <w:r w:rsidR="0070030B" w:rsidRPr="00F715E7">
        <w:rPr>
          <w:bCs/>
          <w:sz w:val="22"/>
          <w:szCs w:val="22"/>
        </w:rPr>
        <w:t>ó</w:t>
      </w:r>
      <w:r w:rsidR="00A71BBD" w:rsidRPr="00F715E7">
        <w:rPr>
          <w:bCs/>
          <w:sz w:val="22"/>
          <w:szCs w:val="22"/>
        </w:rPr>
        <w:t xml:space="preserve"> que por cuanto hace a los argumentos del Partido Acción Nacional en sus conceptos de invalidez </w:t>
      </w:r>
      <w:r w:rsidR="0070030B" w:rsidRPr="00F715E7">
        <w:rPr>
          <w:bCs/>
          <w:sz w:val="22"/>
          <w:szCs w:val="22"/>
        </w:rPr>
        <w:t>p</w:t>
      </w:r>
      <w:r w:rsidR="00A71BBD" w:rsidRPr="00F715E7">
        <w:rPr>
          <w:bCs/>
          <w:sz w:val="22"/>
          <w:szCs w:val="22"/>
        </w:rPr>
        <w:t xml:space="preserve">rimero y </w:t>
      </w:r>
      <w:r w:rsidR="0070030B" w:rsidRPr="00F715E7">
        <w:rPr>
          <w:bCs/>
          <w:sz w:val="22"/>
          <w:szCs w:val="22"/>
        </w:rPr>
        <w:t>s</w:t>
      </w:r>
      <w:r w:rsidR="00A71BBD" w:rsidRPr="00F715E7">
        <w:rPr>
          <w:bCs/>
          <w:sz w:val="22"/>
          <w:szCs w:val="22"/>
        </w:rPr>
        <w:t xml:space="preserve">egundo, así como, los argumentos del Partido Revolucionario Institucional en su </w:t>
      </w:r>
      <w:r w:rsidR="00F6111B" w:rsidRPr="00F715E7">
        <w:rPr>
          <w:bCs/>
          <w:sz w:val="22"/>
          <w:szCs w:val="22"/>
        </w:rPr>
        <w:t>s</w:t>
      </w:r>
      <w:r w:rsidR="00A71BBD" w:rsidRPr="00F715E7">
        <w:rPr>
          <w:bCs/>
          <w:sz w:val="22"/>
          <w:szCs w:val="22"/>
        </w:rPr>
        <w:t xml:space="preserve">egundo </w:t>
      </w:r>
      <w:r w:rsidR="00F6111B" w:rsidRPr="00F715E7">
        <w:rPr>
          <w:bCs/>
          <w:sz w:val="22"/>
          <w:szCs w:val="22"/>
        </w:rPr>
        <w:t>c</w:t>
      </w:r>
      <w:r w:rsidR="00A71BBD" w:rsidRPr="00F715E7">
        <w:rPr>
          <w:bCs/>
          <w:sz w:val="22"/>
          <w:szCs w:val="22"/>
        </w:rPr>
        <w:t xml:space="preserve">oncepto de </w:t>
      </w:r>
      <w:r w:rsidR="0011121B" w:rsidRPr="00F715E7">
        <w:rPr>
          <w:bCs/>
          <w:sz w:val="22"/>
          <w:szCs w:val="22"/>
        </w:rPr>
        <w:t>i</w:t>
      </w:r>
      <w:r w:rsidR="00A71BBD" w:rsidRPr="00F715E7">
        <w:rPr>
          <w:bCs/>
          <w:sz w:val="22"/>
          <w:szCs w:val="22"/>
        </w:rPr>
        <w:t xml:space="preserve">nvalidez, versan sobre que el </w:t>
      </w:r>
      <w:r w:rsidR="0070030B" w:rsidRPr="00F715E7">
        <w:rPr>
          <w:bCs/>
          <w:sz w:val="22"/>
          <w:szCs w:val="22"/>
        </w:rPr>
        <w:t>p</w:t>
      </w:r>
      <w:r w:rsidR="00A71BBD" w:rsidRPr="00F715E7">
        <w:rPr>
          <w:bCs/>
          <w:sz w:val="22"/>
          <w:szCs w:val="22"/>
        </w:rPr>
        <w:t xml:space="preserve">roceso </w:t>
      </w:r>
      <w:r w:rsidR="0070030B" w:rsidRPr="00F715E7">
        <w:rPr>
          <w:bCs/>
          <w:sz w:val="22"/>
          <w:szCs w:val="22"/>
        </w:rPr>
        <w:t>e</w:t>
      </w:r>
      <w:r w:rsidR="00A71BBD" w:rsidRPr="00F715E7">
        <w:rPr>
          <w:bCs/>
          <w:sz w:val="22"/>
          <w:szCs w:val="22"/>
        </w:rPr>
        <w:t xml:space="preserve">lectoral local en el Estado de Veracruz, aún no concluye puesto </w:t>
      </w:r>
      <w:r w:rsidR="00A71BBD" w:rsidRPr="00F715E7">
        <w:rPr>
          <w:bCs/>
          <w:sz w:val="22"/>
          <w:szCs w:val="22"/>
        </w:rPr>
        <w:lastRenderedPageBreak/>
        <w:t xml:space="preserve">que la cadena impugnativa aún se encuentra en proceso y no se han resuelto todos los asuntos relativos a las elecciones municipales; no siendo suficiente que en un artículo transitorio refieran que el Decreto entrará en vigor el primero de enero de dos mil veintidós, salvo que se trate de modificaciones no fundamentales; argumentan violación el </w:t>
      </w:r>
      <w:r w:rsidR="0070030B" w:rsidRPr="00F715E7">
        <w:rPr>
          <w:bCs/>
          <w:sz w:val="22"/>
          <w:szCs w:val="22"/>
        </w:rPr>
        <w:t>t</w:t>
      </w:r>
      <w:r w:rsidR="00A71BBD" w:rsidRPr="00F715E7">
        <w:rPr>
          <w:bCs/>
          <w:sz w:val="22"/>
          <w:szCs w:val="22"/>
        </w:rPr>
        <w:t xml:space="preserve">ercer y </w:t>
      </w:r>
      <w:r w:rsidR="0070030B" w:rsidRPr="00F715E7">
        <w:rPr>
          <w:bCs/>
          <w:sz w:val="22"/>
          <w:szCs w:val="22"/>
        </w:rPr>
        <w:t>c</w:t>
      </w:r>
      <w:r w:rsidR="00A71BBD" w:rsidRPr="00F715E7">
        <w:rPr>
          <w:bCs/>
          <w:sz w:val="22"/>
          <w:szCs w:val="22"/>
        </w:rPr>
        <w:t>uarto párrafo de la fracción II</w:t>
      </w:r>
      <w:r w:rsidR="00D85EDE" w:rsidRPr="00F715E7">
        <w:rPr>
          <w:bCs/>
          <w:sz w:val="22"/>
          <w:szCs w:val="22"/>
        </w:rPr>
        <w:t>,</w:t>
      </w:r>
      <w:r w:rsidR="00A71BBD" w:rsidRPr="00F715E7">
        <w:rPr>
          <w:bCs/>
          <w:sz w:val="22"/>
          <w:szCs w:val="22"/>
        </w:rPr>
        <w:t xml:space="preserve"> del artículo 105 de la Constitución Política de los Estados Unidos Mexicanos en materia de </w:t>
      </w:r>
      <w:r w:rsidR="0070030B" w:rsidRPr="00F715E7">
        <w:rPr>
          <w:bCs/>
          <w:sz w:val="22"/>
          <w:szCs w:val="22"/>
        </w:rPr>
        <w:t>a</w:t>
      </w:r>
      <w:r w:rsidR="00A71BBD" w:rsidRPr="00F715E7">
        <w:rPr>
          <w:bCs/>
          <w:sz w:val="22"/>
          <w:szCs w:val="22"/>
        </w:rPr>
        <w:t xml:space="preserve">cciones de inconstitucionalidad; </w:t>
      </w:r>
      <w:r w:rsidR="0070030B" w:rsidRPr="00F715E7">
        <w:rPr>
          <w:bCs/>
          <w:sz w:val="22"/>
          <w:szCs w:val="22"/>
        </w:rPr>
        <w:t xml:space="preserve">indicó que </w:t>
      </w:r>
      <w:r w:rsidR="00A71BBD" w:rsidRPr="00F715E7">
        <w:rPr>
          <w:bCs/>
          <w:sz w:val="22"/>
          <w:szCs w:val="22"/>
        </w:rPr>
        <w:t>éstos argumentos resultan falsos e infundados.</w:t>
      </w:r>
    </w:p>
    <w:p w14:paraId="20DBD3EE"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2C5E14E6" w14:textId="08CAB1AB" w:rsidR="00A71BBD" w:rsidRPr="00F715E7" w:rsidRDefault="009771EE"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Apuntó que c</w:t>
      </w:r>
      <w:r w:rsidR="00A71BBD" w:rsidRPr="00F715E7">
        <w:rPr>
          <w:bCs/>
          <w:sz w:val="22"/>
          <w:szCs w:val="22"/>
        </w:rPr>
        <w:t>on la reforma</w:t>
      </w:r>
      <w:r w:rsidRPr="00F715E7">
        <w:rPr>
          <w:bCs/>
          <w:sz w:val="22"/>
          <w:szCs w:val="22"/>
        </w:rPr>
        <w:t xml:space="preserve"> </w:t>
      </w:r>
      <w:r w:rsidR="00A71BBD" w:rsidRPr="00F715E7">
        <w:rPr>
          <w:bCs/>
          <w:sz w:val="22"/>
          <w:szCs w:val="22"/>
        </w:rPr>
        <w:t xml:space="preserve">no se eliminan elementos que en materia electoral tenga prohibido modificar el Congreso </w:t>
      </w:r>
      <w:r w:rsidRPr="00F715E7">
        <w:rPr>
          <w:bCs/>
          <w:sz w:val="22"/>
          <w:szCs w:val="22"/>
        </w:rPr>
        <w:t>l</w:t>
      </w:r>
      <w:r w:rsidR="00A71BBD" w:rsidRPr="00F715E7">
        <w:rPr>
          <w:bCs/>
          <w:sz w:val="22"/>
          <w:szCs w:val="22"/>
        </w:rPr>
        <w:t xml:space="preserve">ocal, no se está excluyendo de dicho cuerpo normativo un derecho u obligación de un hacer o un no hacer para efectos del proceso local electoral extraordinario. En principio porque el citado Código Electoral sigue velando por los principios de equidad en las contiendas electorales, así como lo atinente al </w:t>
      </w:r>
      <w:r w:rsidR="00A71BBD" w:rsidRPr="00F715E7">
        <w:rPr>
          <w:sz w:val="22"/>
          <w:szCs w:val="22"/>
        </w:rPr>
        <w:t>financiamiento público</w:t>
      </w:r>
      <w:r w:rsidR="00A71BBD" w:rsidRPr="00F715E7">
        <w:rPr>
          <w:b/>
          <w:bCs/>
          <w:sz w:val="22"/>
          <w:szCs w:val="22"/>
        </w:rPr>
        <w:t xml:space="preserve"> </w:t>
      </w:r>
      <w:r w:rsidR="00A71BBD" w:rsidRPr="00F715E7">
        <w:rPr>
          <w:bCs/>
          <w:sz w:val="22"/>
          <w:szCs w:val="22"/>
        </w:rPr>
        <w:t xml:space="preserve">a los partidos políticos nacionales con registro estatal para gastos de campaña, pues están acordes, </w:t>
      </w:r>
      <w:r w:rsidRPr="00F715E7">
        <w:rPr>
          <w:bCs/>
          <w:sz w:val="22"/>
          <w:szCs w:val="22"/>
        </w:rPr>
        <w:t>insistió</w:t>
      </w:r>
      <w:r w:rsidR="00A71BBD" w:rsidRPr="00F715E7">
        <w:rPr>
          <w:bCs/>
          <w:sz w:val="22"/>
          <w:szCs w:val="22"/>
        </w:rPr>
        <w:t xml:space="preserve">, a lo que mandata la Norma Fundamental y la Ley General que regula a los partidos políticos, lo que implica que siguen intocados los derechos de los actores políticos que tendrán participación en la contienda local electoral extraordinaria 2022. Debido a lo anterior, es evidente lo infundado de los conceptos de invalidez vertidos por los partidos Políticos, respecto a la violación que señalan al numeral 105 en su fracción </w:t>
      </w:r>
      <w:r w:rsidR="00624C1F" w:rsidRPr="00F715E7">
        <w:rPr>
          <w:bCs/>
          <w:sz w:val="22"/>
          <w:szCs w:val="22"/>
        </w:rPr>
        <w:t>II c</w:t>
      </w:r>
      <w:r w:rsidR="00A71BBD" w:rsidRPr="00F715E7">
        <w:rPr>
          <w:bCs/>
          <w:sz w:val="22"/>
          <w:szCs w:val="22"/>
        </w:rPr>
        <w:t>onstitucional.</w:t>
      </w:r>
    </w:p>
    <w:p w14:paraId="30548150"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34F1B806" w14:textId="272F2899"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Por otro lado, los conceptos de invalidez señalados por el Partido Acción Nacional en su concepto tercero; así como del Partido Revolucionario Institucional en su tercer concepto de invalidez; dado que versan sobre la misma temática, es decir, reclama</w:t>
      </w:r>
      <w:r w:rsidR="009771EE" w:rsidRPr="00F715E7">
        <w:rPr>
          <w:bCs/>
          <w:sz w:val="22"/>
          <w:szCs w:val="22"/>
        </w:rPr>
        <w:t>ron</w:t>
      </w:r>
      <w:r w:rsidRPr="00F715E7">
        <w:rPr>
          <w:bCs/>
          <w:sz w:val="22"/>
          <w:szCs w:val="22"/>
        </w:rPr>
        <w:t xml:space="preserve"> la invalidez del artículo 50 apartado A, fracción I</w:t>
      </w:r>
      <w:r w:rsidR="005D3052">
        <w:rPr>
          <w:bCs/>
          <w:sz w:val="22"/>
          <w:szCs w:val="22"/>
        </w:rPr>
        <w:t>,</w:t>
      </w:r>
      <w:r w:rsidRPr="00F715E7">
        <w:rPr>
          <w:bCs/>
          <w:sz w:val="22"/>
          <w:szCs w:val="22"/>
        </w:rPr>
        <w:t xml:space="preserve"> del Código Electoral para Estado de Veracruz, por considerarlo contrario a</w:t>
      </w:r>
      <w:r w:rsidR="00813886" w:rsidRPr="00F715E7">
        <w:rPr>
          <w:bCs/>
          <w:sz w:val="22"/>
          <w:szCs w:val="22"/>
        </w:rPr>
        <w:t>l</w:t>
      </w:r>
      <w:r w:rsidRPr="00F715E7">
        <w:rPr>
          <w:bCs/>
          <w:sz w:val="22"/>
          <w:szCs w:val="22"/>
        </w:rPr>
        <w:t xml:space="preserve"> ordenamiento jurídico </w:t>
      </w:r>
      <w:r w:rsidR="005B6211" w:rsidRPr="00F715E7">
        <w:rPr>
          <w:bCs/>
          <w:sz w:val="22"/>
          <w:szCs w:val="22"/>
        </w:rPr>
        <w:t>c</w:t>
      </w:r>
      <w:r w:rsidRPr="00F715E7">
        <w:rPr>
          <w:bCs/>
          <w:sz w:val="22"/>
          <w:szCs w:val="22"/>
        </w:rPr>
        <w:t xml:space="preserve">onstitucional por restringir o disminuir las prerrogativas y financiamiento público de manera equitativa al apartarse de los principios de equidad e igualdad, fundamentados por los </w:t>
      </w:r>
      <w:r w:rsidR="005D3052">
        <w:rPr>
          <w:bCs/>
          <w:sz w:val="22"/>
          <w:szCs w:val="22"/>
        </w:rPr>
        <w:t>numerales</w:t>
      </w:r>
      <w:r w:rsidRPr="00F715E7">
        <w:rPr>
          <w:bCs/>
          <w:sz w:val="22"/>
          <w:szCs w:val="22"/>
        </w:rPr>
        <w:t xml:space="preserve"> 41, Base II y 116 </w:t>
      </w:r>
      <w:r w:rsidR="00EA21E4">
        <w:rPr>
          <w:bCs/>
          <w:sz w:val="22"/>
          <w:szCs w:val="22"/>
        </w:rPr>
        <w:t>c</w:t>
      </w:r>
      <w:r w:rsidRPr="00F715E7">
        <w:rPr>
          <w:bCs/>
          <w:sz w:val="22"/>
          <w:szCs w:val="22"/>
        </w:rPr>
        <w:t>onstitucionales; argumentos que</w:t>
      </w:r>
      <w:r w:rsidR="009771EE" w:rsidRPr="00F715E7">
        <w:rPr>
          <w:bCs/>
          <w:sz w:val="22"/>
          <w:szCs w:val="22"/>
        </w:rPr>
        <w:t>, señaló el Legislativo local,</w:t>
      </w:r>
      <w:r w:rsidRPr="00F715E7">
        <w:rPr>
          <w:bCs/>
          <w:sz w:val="22"/>
          <w:szCs w:val="22"/>
        </w:rPr>
        <w:t xml:space="preserve"> resultan infundados por las siguientes razones:</w:t>
      </w:r>
    </w:p>
    <w:p w14:paraId="382D8F7A"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46E6183B" w14:textId="24CBE1F5"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No existe obligación por parte de las legislaturas de adoptar bases o porcentajes específicos respecto al financiamiento público local a partidos políticos nacionales. Se cit</w:t>
      </w:r>
      <w:r w:rsidR="009771EE" w:rsidRPr="00F715E7">
        <w:rPr>
          <w:bCs/>
          <w:sz w:val="22"/>
          <w:szCs w:val="22"/>
        </w:rPr>
        <w:t>ó</w:t>
      </w:r>
      <w:r w:rsidRPr="00F715E7">
        <w:rPr>
          <w:bCs/>
          <w:sz w:val="22"/>
          <w:szCs w:val="22"/>
        </w:rPr>
        <w:t xml:space="preserve"> como aplicable lo resuelto en la acción de inconstitucionalidad 88/2008 y sus acumuladas, que dio lugar al criterio de rubro: </w:t>
      </w:r>
      <w:r w:rsidR="00C449E5" w:rsidRPr="00F715E7">
        <w:rPr>
          <w:bCs/>
          <w:i/>
          <w:iCs/>
          <w:sz w:val="22"/>
          <w:szCs w:val="22"/>
        </w:rPr>
        <w:t>“</w:t>
      </w:r>
      <w:r w:rsidRPr="00F715E7">
        <w:rPr>
          <w:bCs/>
          <w:i/>
          <w:iCs/>
          <w:sz w:val="22"/>
          <w:szCs w:val="22"/>
        </w:rPr>
        <w:t>PARTIDOS POLÍTICOS. EL ARTÍCULO 13, FRACCIÓN IV, DE LA CONSTITUCIÓN POLÍTICA DEL ESTADO DE JALISCO, QUE PREVÉ LOS TIPOS DE FINANCIAMIENTO A QUE TENDRÁN ACCESO, NO ES INCONSTITUCIONAL"</w:t>
      </w:r>
      <w:r w:rsidRPr="00F715E7">
        <w:rPr>
          <w:bCs/>
          <w:sz w:val="22"/>
          <w:szCs w:val="22"/>
        </w:rPr>
        <w:t>.</w:t>
      </w:r>
    </w:p>
    <w:p w14:paraId="043C7245"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1DF86496" w14:textId="6387D8A1"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Así pues, al regular aspectos relacionados con el financiamiento público de los partidos políticos locales</w:t>
      </w:r>
      <w:r w:rsidR="007550E9" w:rsidRPr="00F715E7">
        <w:rPr>
          <w:bCs/>
          <w:sz w:val="22"/>
          <w:szCs w:val="22"/>
        </w:rPr>
        <w:t>,</w:t>
      </w:r>
      <w:r w:rsidRPr="00F715E7">
        <w:rPr>
          <w:bCs/>
          <w:sz w:val="22"/>
          <w:szCs w:val="22"/>
        </w:rPr>
        <w:t xml:space="preserve"> las entidades federativas deben </w:t>
      </w:r>
      <w:r w:rsidR="007550E9" w:rsidRPr="00F715E7">
        <w:rPr>
          <w:bCs/>
          <w:sz w:val="22"/>
          <w:szCs w:val="22"/>
        </w:rPr>
        <w:t>atender a</w:t>
      </w:r>
      <w:r w:rsidRPr="00F715E7">
        <w:rPr>
          <w:bCs/>
          <w:sz w:val="22"/>
          <w:szCs w:val="22"/>
        </w:rPr>
        <w:t xml:space="preserve"> lo dispuesto en la Constitución General y en la Ley General de Partidos Políticos; sin embargo, ello no impide a las entidades federativas reducir dicho financiamiento en casos en que los partidos políticos incumplan con sus fines constitucionales.</w:t>
      </w:r>
    </w:p>
    <w:p w14:paraId="5D3785B6" w14:textId="77777777" w:rsidR="00A71BBD" w:rsidRPr="00F715E7" w:rsidRDefault="00A71BBD" w:rsidP="0098787A">
      <w:pPr>
        <w:widowControl w:val="0"/>
        <w:tabs>
          <w:tab w:val="left" w:pos="993"/>
        </w:tabs>
        <w:autoSpaceDE w:val="0"/>
        <w:autoSpaceDN w:val="0"/>
        <w:spacing w:before="0" w:after="0" w:line="240" w:lineRule="auto"/>
        <w:ind w:left="284"/>
        <w:rPr>
          <w:bCs/>
          <w:sz w:val="22"/>
          <w:szCs w:val="22"/>
        </w:rPr>
      </w:pPr>
    </w:p>
    <w:p w14:paraId="3611924D" w14:textId="1F0FD108"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El Congreso local modificó la forma de distribución del financiamiento público que les corresponde a los partidos políticos para actividades específicas, para que en su totalidad se distribuyera igualitariamente. Con base en lo anterior, se entiende que el Decreto 2 no es retroactivo, ya que no obliga a los partidos a revertir lo dispuesto, sino que al adquirir vigencia cumplan con la norma; máxime que los presupuestos no son </w:t>
      </w:r>
      <w:r w:rsidRPr="00F715E7">
        <w:rPr>
          <w:bCs/>
          <w:sz w:val="22"/>
          <w:szCs w:val="22"/>
        </w:rPr>
        <w:lastRenderedPageBreak/>
        <w:t>inamovibles, se pueden ajustar a las necesidades de la sociedad.</w:t>
      </w:r>
    </w:p>
    <w:p w14:paraId="5B265F20"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6A1C2F94" w14:textId="3CEEC636"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Al respecto, </w:t>
      </w:r>
      <w:r w:rsidR="009771EE" w:rsidRPr="00F715E7">
        <w:rPr>
          <w:bCs/>
          <w:sz w:val="22"/>
          <w:szCs w:val="22"/>
        </w:rPr>
        <w:t>indicó que se advierte</w:t>
      </w:r>
      <w:r w:rsidRPr="00F715E7">
        <w:rPr>
          <w:bCs/>
          <w:sz w:val="22"/>
          <w:szCs w:val="22"/>
        </w:rPr>
        <w:t xml:space="preserve"> que el financiamiento público cuya distribución se cuestion</w:t>
      </w:r>
      <w:r w:rsidR="00FF7B6F" w:rsidRPr="00F715E7">
        <w:rPr>
          <w:bCs/>
          <w:sz w:val="22"/>
          <w:szCs w:val="22"/>
        </w:rPr>
        <w:t>ó</w:t>
      </w:r>
      <w:r w:rsidRPr="00F715E7">
        <w:rPr>
          <w:bCs/>
          <w:sz w:val="22"/>
          <w:szCs w:val="22"/>
        </w:rPr>
        <w:t xml:space="preserve"> por los actores, es el destinado a la realización de actividades de carácter específico el cual, en términos de los artículos 41, </w:t>
      </w:r>
      <w:r w:rsidR="00F406F3" w:rsidRPr="00F715E7">
        <w:rPr>
          <w:bCs/>
          <w:sz w:val="22"/>
          <w:szCs w:val="22"/>
        </w:rPr>
        <w:t>B</w:t>
      </w:r>
      <w:r w:rsidRPr="00F715E7">
        <w:rPr>
          <w:bCs/>
          <w:sz w:val="22"/>
          <w:szCs w:val="22"/>
        </w:rPr>
        <w:t xml:space="preserve">ase </w:t>
      </w:r>
      <w:r w:rsidR="00F406F3" w:rsidRPr="00F715E7">
        <w:rPr>
          <w:bCs/>
          <w:sz w:val="22"/>
          <w:szCs w:val="22"/>
        </w:rPr>
        <w:t>II</w:t>
      </w:r>
      <w:r w:rsidRPr="00F715E7">
        <w:rPr>
          <w:bCs/>
          <w:sz w:val="22"/>
          <w:szCs w:val="22"/>
        </w:rPr>
        <w:t>, inciso c)</w:t>
      </w:r>
      <w:r w:rsidR="000D5382">
        <w:rPr>
          <w:bCs/>
          <w:sz w:val="22"/>
          <w:szCs w:val="22"/>
        </w:rPr>
        <w:t>,</w:t>
      </w:r>
      <w:r w:rsidRPr="00F715E7">
        <w:rPr>
          <w:bCs/>
          <w:sz w:val="22"/>
          <w:szCs w:val="22"/>
        </w:rPr>
        <w:t xml:space="preserve"> de la Constitución General y 51, numeral 1, inciso c), fracciones </w:t>
      </w:r>
      <w:r w:rsidR="00F406F3" w:rsidRPr="00F715E7">
        <w:rPr>
          <w:bCs/>
          <w:sz w:val="22"/>
          <w:szCs w:val="22"/>
        </w:rPr>
        <w:t>I y II</w:t>
      </w:r>
      <w:r w:rsidR="000D5382">
        <w:rPr>
          <w:bCs/>
          <w:sz w:val="22"/>
          <w:szCs w:val="22"/>
        </w:rPr>
        <w:t>,</w:t>
      </w:r>
      <w:r w:rsidRPr="00F715E7">
        <w:rPr>
          <w:bCs/>
          <w:sz w:val="22"/>
          <w:szCs w:val="22"/>
        </w:rPr>
        <w:t xml:space="preserve"> de la Ley General de Partidos Políticos, únicamente puede destinarse a la educación, capacitación, investigación socioeconómica y política, así como a las tareas editoriales de los partidos políticos.</w:t>
      </w:r>
    </w:p>
    <w:p w14:paraId="565A429E"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5FBA78EB"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En ese sentido, el legislador federal consideró que este tipo de financiamiento debía ser aplicado a un destino específico sin que pueda ser desviado de su fin. Ello significa que el financiamiento para actividades específicas no puede ser utilizado para actividades propias de otro tipo de financiamiento como sería, por ejemplo, la promoción del voto, actividad que debe realizarse con recursos de financiamiento de campaña o de obtención del voto.</w:t>
      </w:r>
    </w:p>
    <w:p w14:paraId="0FBDC131"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7DA924E7"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La distribución del financiamiento para actividades específicas de forma igualitaria, tal como lo dispone la Constitución local, no compromete la relación directa que existe entre las actividades que desarrollan los partidos políticos en cumplimiento de sus fines y las prerrogativas a las que tienen derecho.</w:t>
      </w:r>
    </w:p>
    <w:p w14:paraId="5CF9A348"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6FF9FA9D" w14:textId="38F208BA"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En otro tema, por lo que hace a los argumentos del Partido Revolucionario Institucional en sus </w:t>
      </w:r>
      <w:r w:rsidR="002F0C58" w:rsidRPr="00F715E7">
        <w:rPr>
          <w:bCs/>
          <w:sz w:val="22"/>
          <w:szCs w:val="22"/>
        </w:rPr>
        <w:t>c</w:t>
      </w:r>
      <w:r w:rsidRPr="00F715E7">
        <w:rPr>
          <w:bCs/>
          <w:sz w:val="22"/>
          <w:szCs w:val="22"/>
        </w:rPr>
        <w:t xml:space="preserve">onceptos de </w:t>
      </w:r>
      <w:r w:rsidR="002F0C58" w:rsidRPr="00F715E7">
        <w:rPr>
          <w:bCs/>
          <w:sz w:val="22"/>
          <w:szCs w:val="22"/>
        </w:rPr>
        <w:t>i</w:t>
      </w:r>
      <w:r w:rsidRPr="00F715E7">
        <w:rPr>
          <w:bCs/>
          <w:sz w:val="22"/>
          <w:szCs w:val="22"/>
        </w:rPr>
        <w:t xml:space="preserve">nvalidez </w:t>
      </w:r>
      <w:r w:rsidR="002F0C58" w:rsidRPr="00F715E7">
        <w:rPr>
          <w:bCs/>
          <w:sz w:val="22"/>
          <w:szCs w:val="22"/>
        </w:rPr>
        <w:t>c</w:t>
      </w:r>
      <w:r w:rsidRPr="00F715E7">
        <w:rPr>
          <w:bCs/>
          <w:sz w:val="22"/>
          <w:szCs w:val="22"/>
        </w:rPr>
        <w:t xml:space="preserve">uarto y </w:t>
      </w:r>
      <w:r w:rsidR="002F0C58" w:rsidRPr="00F715E7">
        <w:rPr>
          <w:bCs/>
          <w:sz w:val="22"/>
          <w:szCs w:val="22"/>
        </w:rPr>
        <w:t>q</w:t>
      </w:r>
      <w:r w:rsidRPr="00F715E7">
        <w:rPr>
          <w:bCs/>
          <w:sz w:val="22"/>
          <w:szCs w:val="22"/>
        </w:rPr>
        <w:t>uinto, toda vez que versan sobre la misma temática, es decir, la invalidez del artículo 50</w:t>
      </w:r>
      <w:r w:rsidR="00FF7B6F" w:rsidRPr="00F715E7">
        <w:rPr>
          <w:bCs/>
          <w:sz w:val="22"/>
          <w:szCs w:val="22"/>
        </w:rPr>
        <w:t>,</w:t>
      </w:r>
      <w:r w:rsidRPr="00F715E7">
        <w:rPr>
          <w:bCs/>
          <w:sz w:val="22"/>
          <w:szCs w:val="22"/>
        </w:rPr>
        <w:t xml:space="preserve"> apartado A, fracción I</w:t>
      </w:r>
      <w:r w:rsidR="000D5382">
        <w:rPr>
          <w:bCs/>
          <w:sz w:val="22"/>
          <w:szCs w:val="22"/>
        </w:rPr>
        <w:t>,</w:t>
      </w:r>
      <w:r w:rsidRPr="00F715E7">
        <w:rPr>
          <w:bCs/>
          <w:sz w:val="22"/>
          <w:szCs w:val="22"/>
        </w:rPr>
        <w:t xml:space="preserve"> del Código Electoral para Estado de Veracruz, por considerarlo contrario al ordenamiento jurídico Constitucional, al legislar sobre financiamiento público apartándose de los principios fundamentados y de retroactividad de ley establecidos por los </w:t>
      </w:r>
      <w:r w:rsidR="000D5382">
        <w:rPr>
          <w:bCs/>
          <w:sz w:val="22"/>
          <w:szCs w:val="22"/>
        </w:rPr>
        <w:t>numerales</w:t>
      </w:r>
      <w:r w:rsidRPr="00F715E7">
        <w:rPr>
          <w:bCs/>
          <w:sz w:val="22"/>
          <w:szCs w:val="22"/>
        </w:rPr>
        <w:t xml:space="preserve"> 14 y 41 Constitucional y 51 de la Ley General de Partidos Políticos; </w:t>
      </w:r>
      <w:r w:rsidR="00F6111B" w:rsidRPr="00F715E7">
        <w:rPr>
          <w:bCs/>
          <w:sz w:val="22"/>
          <w:szCs w:val="22"/>
        </w:rPr>
        <w:t>e</w:t>
      </w:r>
      <w:r w:rsidRPr="00F715E7">
        <w:rPr>
          <w:bCs/>
          <w:sz w:val="22"/>
          <w:szCs w:val="22"/>
        </w:rPr>
        <w:t>stos argumentos resultan falsos e infundados por las siguientes razones:</w:t>
      </w:r>
    </w:p>
    <w:p w14:paraId="641043BB"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5F034FF2" w14:textId="79C937B5"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Resulta falsa la premisa de que la reforma a través del Decreto Número 2 constituya una norma retroactiva, pues evidentemente es acorde a lo mandatado por la </w:t>
      </w:r>
      <w:r w:rsidR="00C51028" w:rsidRPr="00F715E7">
        <w:rPr>
          <w:bCs/>
          <w:sz w:val="22"/>
          <w:szCs w:val="22"/>
        </w:rPr>
        <w:t>C</w:t>
      </w:r>
      <w:r w:rsidRPr="00F715E7">
        <w:rPr>
          <w:bCs/>
          <w:sz w:val="22"/>
          <w:szCs w:val="22"/>
        </w:rPr>
        <w:t>onstitución; no puede considerarse retroactiva por diversas razones, una de ellas lo es, que la Ley General de Partidos Políticos da pautas precisas para su otorgamiento y distribución, pero en el caso del financiamiento público estatal para los partidos políticos nacionales, únicamente existe la obligación de otorgarlo, dejando en libertad de configuración a las entidades federativas para establecer las reglas para su otorgamiento.</w:t>
      </w:r>
    </w:p>
    <w:p w14:paraId="1D1EF027"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46EFB799" w14:textId="696596A0"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Finalmente, en términos del artículo 50, párrafo 1, de la Ley General de Partidos Políticos, </w:t>
      </w:r>
      <w:r w:rsidR="00B24BBE" w:rsidRPr="00F715E7">
        <w:rPr>
          <w:bCs/>
          <w:sz w:val="22"/>
          <w:szCs w:val="22"/>
        </w:rPr>
        <w:t>é</w:t>
      </w:r>
      <w:r w:rsidR="00024617" w:rsidRPr="00F715E7">
        <w:rPr>
          <w:bCs/>
          <w:sz w:val="22"/>
          <w:szCs w:val="22"/>
        </w:rPr>
        <w:t>stos</w:t>
      </w:r>
      <w:r w:rsidRPr="00F715E7">
        <w:rPr>
          <w:bCs/>
          <w:sz w:val="22"/>
          <w:szCs w:val="22"/>
        </w:rPr>
        <w:t xml:space="preserve"> tienen derecho a recibir, para desarrollar sus actividades, financiamiento público que se distribuirá de manera equitativa, conforme a lo establecido en el </w:t>
      </w:r>
      <w:r w:rsidR="00F8679C">
        <w:rPr>
          <w:bCs/>
          <w:sz w:val="22"/>
          <w:szCs w:val="22"/>
        </w:rPr>
        <w:t>diverso</w:t>
      </w:r>
      <w:r w:rsidRPr="00F715E7">
        <w:rPr>
          <w:bCs/>
          <w:sz w:val="22"/>
          <w:szCs w:val="22"/>
        </w:rPr>
        <w:t xml:space="preserve"> 41, Base </w:t>
      </w:r>
      <w:r w:rsidR="00F406F3" w:rsidRPr="00F715E7">
        <w:rPr>
          <w:bCs/>
          <w:sz w:val="22"/>
          <w:szCs w:val="22"/>
        </w:rPr>
        <w:t>II</w:t>
      </w:r>
      <w:r w:rsidRPr="00F715E7">
        <w:rPr>
          <w:bCs/>
          <w:sz w:val="22"/>
          <w:szCs w:val="22"/>
        </w:rPr>
        <w:t>, de la Constitución Federal, así como de acuerdo con lo dispuesto en las normas relativas locales.</w:t>
      </w:r>
    </w:p>
    <w:p w14:paraId="365AE2F3"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57C1556C"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El artículo 52 de la Ley General en cita, preceptúa que para que un partido político nacional cuente con recursos locales, éste deberá haber obtenido el tres por ciento de la de la votación válida emitida en el proceso electoral local anterior en la entidad federativa de que se trate; y que las reglas que determinen el financiamiento local de los partidos que cumplan con dicho porcentaje se establecerán en las legislaciones locales respectivas, por lo que, se deja en libertad de configuración a las entidades federativas para establecer las reglas de su otorgamiento.</w:t>
      </w:r>
    </w:p>
    <w:p w14:paraId="2EF70593"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559D9D1C" w14:textId="1D1417FC"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En otro apartado, por cuanto hace a los argumentos del Partido Revolucionario Institucional en su </w:t>
      </w:r>
      <w:r w:rsidR="00276784" w:rsidRPr="00F715E7">
        <w:rPr>
          <w:bCs/>
          <w:sz w:val="22"/>
          <w:szCs w:val="22"/>
        </w:rPr>
        <w:t>p</w:t>
      </w:r>
      <w:r w:rsidRPr="00F715E7">
        <w:rPr>
          <w:bCs/>
          <w:sz w:val="22"/>
          <w:szCs w:val="22"/>
        </w:rPr>
        <w:t xml:space="preserve">rimer </w:t>
      </w:r>
      <w:r w:rsidR="00276784" w:rsidRPr="00F715E7">
        <w:rPr>
          <w:bCs/>
          <w:sz w:val="22"/>
          <w:szCs w:val="22"/>
        </w:rPr>
        <w:t>c</w:t>
      </w:r>
      <w:r w:rsidRPr="00F715E7">
        <w:rPr>
          <w:bCs/>
          <w:sz w:val="22"/>
          <w:szCs w:val="22"/>
        </w:rPr>
        <w:t xml:space="preserve">oncepto de </w:t>
      </w:r>
      <w:r w:rsidR="00276784" w:rsidRPr="00F715E7">
        <w:rPr>
          <w:bCs/>
          <w:sz w:val="22"/>
          <w:szCs w:val="22"/>
        </w:rPr>
        <w:t>i</w:t>
      </w:r>
      <w:r w:rsidRPr="00F715E7">
        <w:rPr>
          <w:bCs/>
          <w:sz w:val="22"/>
          <w:szCs w:val="22"/>
        </w:rPr>
        <w:t>nvalidez, toda vez que consider</w:t>
      </w:r>
      <w:r w:rsidR="00FF7B6F" w:rsidRPr="00F715E7">
        <w:rPr>
          <w:bCs/>
          <w:sz w:val="22"/>
          <w:szCs w:val="22"/>
        </w:rPr>
        <w:t>ó</w:t>
      </w:r>
      <w:r w:rsidRPr="00F715E7">
        <w:rPr>
          <w:bCs/>
          <w:sz w:val="22"/>
          <w:szCs w:val="22"/>
        </w:rPr>
        <w:t xml:space="preserve"> que es un deber del Congreso local como parte esencial del proceso legislativo, formular una consulta amplia e informada a los integrantes de los diversos pueblos originarios que cohabitan en la entidad e, incluso, de dicha consulta se hacía extensiva a los integrantes de las comunidades </w:t>
      </w:r>
      <w:r w:rsidR="00BD31A4" w:rsidRPr="00F715E7">
        <w:rPr>
          <w:bCs/>
          <w:sz w:val="22"/>
          <w:szCs w:val="22"/>
        </w:rPr>
        <w:t>afromexicanas</w:t>
      </w:r>
      <w:r w:rsidRPr="00F715E7">
        <w:rPr>
          <w:bCs/>
          <w:sz w:val="22"/>
          <w:szCs w:val="22"/>
        </w:rPr>
        <w:t xml:space="preserve"> también con residencia en el </w:t>
      </w:r>
      <w:r w:rsidR="00F8679C">
        <w:rPr>
          <w:bCs/>
          <w:sz w:val="22"/>
          <w:szCs w:val="22"/>
        </w:rPr>
        <w:t>E</w:t>
      </w:r>
      <w:r w:rsidRPr="00F715E7">
        <w:rPr>
          <w:bCs/>
          <w:sz w:val="22"/>
          <w:szCs w:val="22"/>
        </w:rPr>
        <w:t xml:space="preserve">stado, que les permita pronunciarse de manera plena e informada respecto de la conveniencia o no de la reforma planteada; </w:t>
      </w:r>
      <w:r w:rsidR="005471FF" w:rsidRPr="00F715E7">
        <w:rPr>
          <w:bCs/>
          <w:sz w:val="22"/>
          <w:szCs w:val="22"/>
        </w:rPr>
        <w:t>e</w:t>
      </w:r>
      <w:r w:rsidRPr="00F715E7">
        <w:rPr>
          <w:bCs/>
          <w:sz w:val="22"/>
          <w:szCs w:val="22"/>
        </w:rPr>
        <w:t>stos argumentos resultan falsos e infundados por las siguientes razones:</w:t>
      </w:r>
    </w:p>
    <w:p w14:paraId="1AA12AAB"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33EEA063" w14:textId="26E8EF19"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 xml:space="preserve">Es claro y evidente que no es requisito para la reforma planteada a través del Decreto Número 2, que reforma el artículo 50, apartado </w:t>
      </w:r>
      <w:r w:rsidR="005471FF" w:rsidRPr="00F715E7">
        <w:rPr>
          <w:bCs/>
          <w:sz w:val="22"/>
          <w:szCs w:val="22"/>
        </w:rPr>
        <w:t>A</w:t>
      </w:r>
      <w:r w:rsidRPr="00F715E7">
        <w:rPr>
          <w:bCs/>
          <w:sz w:val="22"/>
          <w:szCs w:val="22"/>
        </w:rPr>
        <w:t xml:space="preserve">, en su fracción </w:t>
      </w:r>
      <w:r w:rsidR="005471FF" w:rsidRPr="00F715E7">
        <w:rPr>
          <w:bCs/>
          <w:sz w:val="22"/>
          <w:szCs w:val="22"/>
        </w:rPr>
        <w:t>I</w:t>
      </w:r>
      <w:r w:rsidR="00F8679C">
        <w:rPr>
          <w:bCs/>
          <w:sz w:val="22"/>
          <w:szCs w:val="22"/>
        </w:rPr>
        <w:t>,</w:t>
      </w:r>
      <w:r w:rsidRPr="00F715E7">
        <w:rPr>
          <w:bCs/>
          <w:sz w:val="22"/>
          <w:szCs w:val="22"/>
        </w:rPr>
        <w:t xml:space="preserve"> del Código Electoral para el Estado de Veracruz de Ignacio de la Llave, formular una consulta amplia e informada a los integrantes de los diversos pueblos originarios que cohabitan en la entidad e, incluso, que dicha consulta se haga extensiva a los integrantes de las comunidades </w:t>
      </w:r>
      <w:r w:rsidR="003A1E3C" w:rsidRPr="00F715E7">
        <w:rPr>
          <w:bCs/>
          <w:sz w:val="22"/>
          <w:szCs w:val="22"/>
        </w:rPr>
        <w:t>afromexicanas</w:t>
      </w:r>
      <w:r w:rsidRPr="00F715E7">
        <w:rPr>
          <w:bCs/>
          <w:sz w:val="22"/>
          <w:szCs w:val="22"/>
        </w:rPr>
        <w:t xml:space="preserve"> también con residencia en el </w:t>
      </w:r>
      <w:r w:rsidR="001D53DD" w:rsidRPr="00F715E7">
        <w:rPr>
          <w:bCs/>
          <w:sz w:val="22"/>
          <w:szCs w:val="22"/>
        </w:rPr>
        <w:t>e</w:t>
      </w:r>
      <w:r w:rsidRPr="00F715E7">
        <w:rPr>
          <w:bCs/>
          <w:sz w:val="22"/>
          <w:szCs w:val="22"/>
        </w:rPr>
        <w:t>stado.</w:t>
      </w:r>
    </w:p>
    <w:p w14:paraId="648BCDA1" w14:textId="77777777"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p>
    <w:p w14:paraId="625C8742" w14:textId="3CA170B1" w:rsidR="00A71BBD" w:rsidRPr="00F715E7" w:rsidRDefault="00A71BBD" w:rsidP="0098787A">
      <w:pPr>
        <w:pStyle w:val="Prrafodelista"/>
        <w:widowControl w:val="0"/>
        <w:tabs>
          <w:tab w:val="left" w:pos="993"/>
        </w:tabs>
        <w:autoSpaceDE w:val="0"/>
        <w:autoSpaceDN w:val="0"/>
        <w:spacing w:before="0" w:after="0" w:line="240" w:lineRule="auto"/>
        <w:ind w:left="284"/>
        <w:rPr>
          <w:bCs/>
          <w:sz w:val="22"/>
          <w:szCs w:val="22"/>
        </w:rPr>
      </w:pPr>
      <w:r w:rsidRPr="00F715E7">
        <w:rPr>
          <w:bCs/>
          <w:sz w:val="22"/>
          <w:szCs w:val="22"/>
        </w:rPr>
        <w:t>Toda vez que,</w:t>
      </w:r>
      <w:r w:rsidR="00FF7B6F" w:rsidRPr="00F715E7">
        <w:rPr>
          <w:bCs/>
          <w:sz w:val="22"/>
          <w:szCs w:val="22"/>
        </w:rPr>
        <w:t xml:space="preserve"> a juicio del Legislativo local,</w:t>
      </w:r>
      <w:r w:rsidRPr="00F715E7">
        <w:rPr>
          <w:bCs/>
          <w:sz w:val="22"/>
          <w:szCs w:val="22"/>
        </w:rPr>
        <w:t xml:space="preserve"> es claro que en el caso que nos ocupa, el Decreto Número 2, no afecta derechos colectivos, y es aplicable -en su caso- para reformas </w:t>
      </w:r>
      <w:r w:rsidR="001D53DD" w:rsidRPr="00F715E7">
        <w:rPr>
          <w:bCs/>
          <w:sz w:val="22"/>
          <w:szCs w:val="22"/>
        </w:rPr>
        <w:t>c</w:t>
      </w:r>
      <w:r w:rsidRPr="00F715E7">
        <w:rPr>
          <w:bCs/>
          <w:sz w:val="22"/>
          <w:szCs w:val="22"/>
        </w:rPr>
        <w:t>onstitucionales, y no para leyes secundarias como lo es e Código Electoral para el Estado de Veracruz de Ignacio de la Llave. De lo que se desprende lo infundado del argumento vertido por el partido promovente.</w:t>
      </w:r>
    </w:p>
    <w:p w14:paraId="186D055A" w14:textId="77777777" w:rsidR="005D5E4B" w:rsidRPr="00F715E7" w:rsidRDefault="005D5E4B" w:rsidP="0098787A">
      <w:pPr>
        <w:pStyle w:val="Prrafodelista"/>
        <w:widowControl w:val="0"/>
        <w:tabs>
          <w:tab w:val="left" w:pos="993"/>
        </w:tabs>
        <w:autoSpaceDE w:val="0"/>
        <w:autoSpaceDN w:val="0"/>
        <w:spacing w:before="0" w:after="0" w:line="240" w:lineRule="auto"/>
        <w:ind w:left="284"/>
        <w:rPr>
          <w:bCs/>
          <w:sz w:val="22"/>
          <w:szCs w:val="22"/>
        </w:rPr>
      </w:pPr>
    </w:p>
    <w:p w14:paraId="250828E6" w14:textId="77777777" w:rsidR="0071440B" w:rsidRPr="00F715E7" w:rsidRDefault="0071440B" w:rsidP="001E1EF8">
      <w:pPr>
        <w:pStyle w:val="Prrafodelista"/>
        <w:tabs>
          <w:tab w:val="left" w:pos="993"/>
        </w:tabs>
        <w:spacing w:before="0" w:after="0" w:line="240" w:lineRule="auto"/>
        <w:ind w:left="284"/>
        <w:contextualSpacing/>
        <w:rPr>
          <w:sz w:val="22"/>
          <w:szCs w:val="22"/>
        </w:rPr>
      </w:pPr>
    </w:p>
    <w:p w14:paraId="444C5C0E" w14:textId="4A3A80B8" w:rsidR="00691781" w:rsidRPr="00F715E7" w:rsidRDefault="00494B7B" w:rsidP="001E1EF8">
      <w:pPr>
        <w:pStyle w:val="Estilo1"/>
        <w:widowControl w:val="0"/>
        <w:numPr>
          <w:ilvl w:val="0"/>
          <w:numId w:val="6"/>
        </w:numPr>
        <w:spacing w:before="0" w:after="0"/>
        <w:ind w:left="0"/>
        <w:rPr>
          <w:sz w:val="26"/>
          <w:szCs w:val="26"/>
        </w:rPr>
      </w:pPr>
      <w:r w:rsidRPr="00F715E7">
        <w:rPr>
          <w:b/>
          <w:sz w:val="26"/>
          <w:szCs w:val="26"/>
        </w:rPr>
        <w:t>Opinión de la Sala Superior del Tribunal Electoral del Poder Judicial de la Federación</w:t>
      </w:r>
      <w:r w:rsidR="00593B64" w:rsidRPr="00F715E7">
        <w:rPr>
          <w:b/>
          <w:sz w:val="26"/>
          <w:szCs w:val="26"/>
        </w:rPr>
        <w:t xml:space="preserve">. </w:t>
      </w:r>
      <w:r w:rsidR="00691781" w:rsidRPr="00F715E7">
        <w:rPr>
          <w:bCs/>
          <w:sz w:val="26"/>
          <w:szCs w:val="26"/>
        </w:rPr>
        <w:t xml:space="preserve">Por proveído de cuatro de marzo de dos mil veintidós, la Ministra </w:t>
      </w:r>
      <w:r w:rsidR="00D17AD5" w:rsidRPr="00F715E7">
        <w:rPr>
          <w:bCs/>
          <w:sz w:val="26"/>
          <w:szCs w:val="26"/>
        </w:rPr>
        <w:t>i</w:t>
      </w:r>
      <w:r w:rsidR="00691781" w:rsidRPr="00F715E7">
        <w:rPr>
          <w:bCs/>
          <w:sz w:val="26"/>
          <w:szCs w:val="26"/>
        </w:rPr>
        <w:t xml:space="preserve">nstructora </w:t>
      </w:r>
      <w:r w:rsidR="00EA78B9" w:rsidRPr="00F715E7">
        <w:rPr>
          <w:bCs/>
          <w:sz w:val="26"/>
          <w:szCs w:val="26"/>
        </w:rPr>
        <w:t xml:space="preserve">acordó la recepción de las opiniones </w:t>
      </w:r>
      <w:r w:rsidR="005F1D92" w:rsidRPr="00F715E7">
        <w:rPr>
          <w:bCs/>
          <w:sz w:val="26"/>
          <w:szCs w:val="26"/>
        </w:rPr>
        <w:t>que emitió el</w:t>
      </w:r>
      <w:r w:rsidR="00EA78B9" w:rsidRPr="00F715E7">
        <w:rPr>
          <w:bCs/>
          <w:sz w:val="26"/>
          <w:szCs w:val="26"/>
        </w:rPr>
        <w:t xml:space="preserve"> catorce y veintidós de febrero de </w:t>
      </w:r>
      <w:r w:rsidR="005F1D92" w:rsidRPr="00F715E7">
        <w:rPr>
          <w:bCs/>
          <w:sz w:val="26"/>
          <w:szCs w:val="26"/>
        </w:rPr>
        <w:t>esta</w:t>
      </w:r>
      <w:r w:rsidR="00EA78B9" w:rsidRPr="00F715E7">
        <w:rPr>
          <w:bCs/>
          <w:sz w:val="26"/>
          <w:szCs w:val="26"/>
        </w:rPr>
        <w:t xml:space="preserve"> anualidad la Sala Superior del Tribunal Electoral del Poder Judicial de la Federación, las cuales en esencia </w:t>
      </w:r>
      <w:r w:rsidR="005F1D92" w:rsidRPr="00F715E7">
        <w:rPr>
          <w:bCs/>
          <w:sz w:val="26"/>
          <w:szCs w:val="26"/>
        </w:rPr>
        <w:t>contienen lo</w:t>
      </w:r>
      <w:r w:rsidR="00EA78B9" w:rsidRPr="00F715E7">
        <w:rPr>
          <w:bCs/>
          <w:sz w:val="26"/>
          <w:szCs w:val="26"/>
        </w:rPr>
        <w:t xml:space="preserve"> siguiente: </w:t>
      </w:r>
    </w:p>
    <w:p w14:paraId="6A5A814B" w14:textId="77777777" w:rsidR="00A85C0C" w:rsidRPr="00F715E7" w:rsidRDefault="00A85C0C" w:rsidP="0098787A">
      <w:pPr>
        <w:pStyle w:val="Estilo1"/>
        <w:numPr>
          <w:ilvl w:val="0"/>
          <w:numId w:val="0"/>
        </w:numPr>
        <w:spacing w:before="0" w:after="0" w:line="240" w:lineRule="auto"/>
        <w:ind w:left="284"/>
        <w:rPr>
          <w:sz w:val="22"/>
          <w:szCs w:val="22"/>
        </w:rPr>
      </w:pPr>
    </w:p>
    <w:p w14:paraId="087DD036" w14:textId="3CEC4BA6" w:rsidR="00691781" w:rsidRPr="00F715E7" w:rsidRDefault="00691781" w:rsidP="0098787A">
      <w:pPr>
        <w:pStyle w:val="Estilo1"/>
        <w:numPr>
          <w:ilvl w:val="0"/>
          <w:numId w:val="0"/>
        </w:numPr>
        <w:spacing w:before="0" w:after="0" w:line="240" w:lineRule="auto"/>
        <w:ind w:left="284"/>
        <w:rPr>
          <w:sz w:val="22"/>
          <w:szCs w:val="22"/>
        </w:rPr>
      </w:pPr>
      <w:r w:rsidRPr="00F715E7">
        <w:rPr>
          <w:sz w:val="22"/>
          <w:szCs w:val="22"/>
        </w:rPr>
        <w:t>En relación con el presunto incumplimiento a lo resuelto en la acción de inconstitucionalidad 241/2020 y sus acumuladas aplicable para el Estado de Veracruz y la obligación de realizar una consulta previa e informada a los integrantes de los pueblos y comunidades indígenas y afromexicanas, la Sala Superior estim</w:t>
      </w:r>
      <w:r w:rsidR="00FF7B6F" w:rsidRPr="00F715E7">
        <w:rPr>
          <w:sz w:val="22"/>
          <w:szCs w:val="22"/>
        </w:rPr>
        <w:t>ó</w:t>
      </w:r>
      <w:r w:rsidRPr="00F715E7">
        <w:rPr>
          <w:sz w:val="22"/>
          <w:szCs w:val="22"/>
        </w:rPr>
        <w:t xml:space="preserve"> que es innecesaria una opinión especializada porque el tema no es exclusivo del derecho electoral, sino que se trata de definir los alcances de lo resuelto en la acción de inconstitucionalidad 241/2020 y sus acumuladas.</w:t>
      </w:r>
    </w:p>
    <w:p w14:paraId="501EF7A5" w14:textId="77777777" w:rsidR="00A85C0C" w:rsidRPr="00F715E7" w:rsidRDefault="00A85C0C" w:rsidP="001E1EF8">
      <w:pPr>
        <w:pStyle w:val="Estilo1"/>
        <w:numPr>
          <w:ilvl w:val="0"/>
          <w:numId w:val="0"/>
        </w:numPr>
        <w:spacing w:before="0" w:after="0" w:line="240" w:lineRule="auto"/>
        <w:ind w:left="284"/>
        <w:rPr>
          <w:sz w:val="22"/>
          <w:szCs w:val="22"/>
        </w:rPr>
      </w:pPr>
    </w:p>
    <w:p w14:paraId="5DA96030" w14:textId="27A98F1B" w:rsidR="00691781" w:rsidRPr="00F715E7" w:rsidRDefault="00691781" w:rsidP="001E1EF8">
      <w:pPr>
        <w:pStyle w:val="Estilo1"/>
        <w:numPr>
          <w:ilvl w:val="0"/>
          <w:numId w:val="0"/>
        </w:numPr>
        <w:spacing w:before="0" w:after="0" w:line="240" w:lineRule="auto"/>
        <w:ind w:left="284"/>
        <w:rPr>
          <w:sz w:val="22"/>
          <w:szCs w:val="22"/>
        </w:rPr>
      </w:pPr>
      <w:r w:rsidRPr="00F715E7">
        <w:rPr>
          <w:sz w:val="22"/>
          <w:szCs w:val="22"/>
        </w:rPr>
        <w:t>Por lo que hace a la violación al penúltimo párrafo de la fracción II del artículo 105 constitucional derivada de que al momento de legislar el decreto impugnado, el proceso electoral estatal todavía no concluía, la Sala Superior del Tribunal Electoral del Poder Judicial de la Federación establec</w:t>
      </w:r>
      <w:r w:rsidR="00FF7B6F" w:rsidRPr="00F715E7">
        <w:rPr>
          <w:sz w:val="22"/>
          <w:szCs w:val="22"/>
        </w:rPr>
        <w:t>ió</w:t>
      </w:r>
      <w:r w:rsidRPr="00F715E7">
        <w:rPr>
          <w:sz w:val="22"/>
          <w:szCs w:val="22"/>
        </w:rPr>
        <w:t xml:space="preserve"> que en este caso no se actualiza la </w:t>
      </w:r>
      <w:r w:rsidR="00BD31A4" w:rsidRPr="00F715E7">
        <w:rPr>
          <w:sz w:val="22"/>
          <w:szCs w:val="22"/>
        </w:rPr>
        <w:t>prohibición constitucional</w:t>
      </w:r>
      <w:r w:rsidRPr="00F715E7">
        <w:rPr>
          <w:sz w:val="22"/>
          <w:szCs w:val="22"/>
        </w:rPr>
        <w:t xml:space="preserve"> porque si bien el decreto de reforma se publicó en la Gaceta Oficial del Gobierno de  Veracruz el martes veintiocho de diciembre de dos mil veintiuno, es decir, </w:t>
      </w:r>
      <w:r w:rsidRPr="00F715E7">
        <w:rPr>
          <w:sz w:val="22"/>
          <w:szCs w:val="22"/>
        </w:rPr>
        <w:lastRenderedPageBreak/>
        <w:t>dos días antes de que se resolvieran en definitiva todos los medios de impugnación relacionados con el proceso electoral intermedio de dos mil veintiuno en esa entidad federativa, lo que ocurrió el jueves treinta de diciembre, lo cierto es que la reforma en modo alguno surtió sus efectos en ese proceso electoral.</w:t>
      </w:r>
    </w:p>
    <w:p w14:paraId="2EE3D2F4" w14:textId="77777777" w:rsidR="005D5E4B" w:rsidRPr="00F715E7" w:rsidRDefault="005D5E4B" w:rsidP="001E1EF8">
      <w:pPr>
        <w:pStyle w:val="Estilo1"/>
        <w:numPr>
          <w:ilvl w:val="0"/>
          <w:numId w:val="0"/>
        </w:numPr>
        <w:spacing w:before="0" w:after="0" w:line="240" w:lineRule="auto"/>
        <w:ind w:left="284"/>
        <w:rPr>
          <w:sz w:val="22"/>
          <w:szCs w:val="22"/>
        </w:rPr>
      </w:pPr>
    </w:p>
    <w:p w14:paraId="45DBF099" w14:textId="325BC60A" w:rsidR="00691781" w:rsidRPr="00F715E7" w:rsidRDefault="00691781" w:rsidP="0098787A">
      <w:pPr>
        <w:pStyle w:val="Estilo1"/>
        <w:numPr>
          <w:ilvl w:val="0"/>
          <w:numId w:val="0"/>
        </w:numPr>
        <w:spacing w:before="0" w:after="0" w:line="240" w:lineRule="auto"/>
        <w:ind w:left="284"/>
        <w:rPr>
          <w:sz w:val="22"/>
          <w:szCs w:val="22"/>
        </w:rPr>
      </w:pPr>
      <w:r w:rsidRPr="00F715E7">
        <w:rPr>
          <w:sz w:val="22"/>
          <w:szCs w:val="22"/>
        </w:rPr>
        <w:t>Ello porque el artículo segundo transitorio de la reforma prevé que el decreto entraría en vigor el primero de enero de dos mil ve</w:t>
      </w:r>
      <w:r w:rsidR="00F6111B" w:rsidRPr="00F715E7">
        <w:rPr>
          <w:sz w:val="22"/>
          <w:szCs w:val="22"/>
        </w:rPr>
        <w:t>inti</w:t>
      </w:r>
      <w:r w:rsidRPr="00F715E7">
        <w:rPr>
          <w:sz w:val="22"/>
          <w:szCs w:val="22"/>
        </w:rPr>
        <w:t>d</w:t>
      </w:r>
      <w:r w:rsidR="00F6111B" w:rsidRPr="00F715E7">
        <w:rPr>
          <w:sz w:val="22"/>
          <w:szCs w:val="22"/>
        </w:rPr>
        <w:t>ó</w:t>
      </w:r>
      <w:r w:rsidRPr="00F715E7">
        <w:rPr>
          <w:sz w:val="22"/>
          <w:szCs w:val="22"/>
        </w:rPr>
        <w:t>s.</w:t>
      </w:r>
    </w:p>
    <w:p w14:paraId="05C94527" w14:textId="77777777" w:rsidR="00A85C0C" w:rsidRPr="00F715E7" w:rsidRDefault="00A85C0C" w:rsidP="001E1EF8">
      <w:pPr>
        <w:pStyle w:val="Estilo1"/>
        <w:numPr>
          <w:ilvl w:val="0"/>
          <w:numId w:val="0"/>
        </w:numPr>
        <w:spacing w:before="0" w:after="0" w:line="240" w:lineRule="auto"/>
        <w:ind w:left="284"/>
        <w:rPr>
          <w:sz w:val="22"/>
          <w:szCs w:val="22"/>
        </w:rPr>
      </w:pPr>
    </w:p>
    <w:p w14:paraId="0EB410DC" w14:textId="7D051144" w:rsidR="00691781" w:rsidRPr="00F715E7" w:rsidRDefault="00691781" w:rsidP="0098787A">
      <w:pPr>
        <w:pStyle w:val="Estilo1"/>
        <w:numPr>
          <w:ilvl w:val="0"/>
          <w:numId w:val="0"/>
        </w:numPr>
        <w:spacing w:before="0" w:after="0" w:line="240" w:lineRule="auto"/>
        <w:ind w:left="284"/>
        <w:rPr>
          <w:sz w:val="22"/>
          <w:szCs w:val="22"/>
        </w:rPr>
      </w:pPr>
      <w:r w:rsidRPr="00F715E7">
        <w:rPr>
          <w:sz w:val="22"/>
          <w:szCs w:val="22"/>
        </w:rPr>
        <w:t xml:space="preserve">Por otra parte, no existe en el </w:t>
      </w:r>
      <w:r w:rsidR="00024372" w:rsidRPr="00F715E7">
        <w:rPr>
          <w:sz w:val="22"/>
          <w:szCs w:val="22"/>
        </w:rPr>
        <w:t>E</w:t>
      </w:r>
      <w:r w:rsidRPr="00F715E7">
        <w:rPr>
          <w:sz w:val="22"/>
          <w:szCs w:val="22"/>
        </w:rPr>
        <w:t>stado de Veracruz algún proceso electoral local ordinario dentro de los noventa días siguientes a que entró en vigor la reforma, por lo que es claro que no se trasgrede la prohibición constitucional</w:t>
      </w:r>
      <w:r w:rsidR="00EA78B9" w:rsidRPr="00F715E7">
        <w:rPr>
          <w:sz w:val="22"/>
          <w:szCs w:val="22"/>
        </w:rPr>
        <w:t xml:space="preserve"> </w:t>
      </w:r>
      <w:r w:rsidRPr="00F715E7">
        <w:rPr>
          <w:sz w:val="22"/>
          <w:szCs w:val="22"/>
        </w:rPr>
        <w:t>de emitir modificaciones legales fundamentales antes de noventa días del inicio del proceso electoral o durante este.</w:t>
      </w:r>
    </w:p>
    <w:p w14:paraId="467461BA" w14:textId="77777777" w:rsidR="00A85C0C" w:rsidRPr="00F715E7" w:rsidRDefault="00A85C0C" w:rsidP="001E1EF8">
      <w:pPr>
        <w:pStyle w:val="Estilo1"/>
        <w:numPr>
          <w:ilvl w:val="0"/>
          <w:numId w:val="0"/>
        </w:numPr>
        <w:spacing w:before="0" w:after="0" w:line="240" w:lineRule="auto"/>
        <w:ind w:left="284"/>
        <w:rPr>
          <w:sz w:val="22"/>
          <w:szCs w:val="22"/>
        </w:rPr>
      </w:pPr>
    </w:p>
    <w:p w14:paraId="2CF78A62" w14:textId="38E25F2A" w:rsidR="00691781" w:rsidRPr="00F715E7" w:rsidRDefault="00691781" w:rsidP="0098787A">
      <w:pPr>
        <w:pStyle w:val="Estilo1"/>
        <w:numPr>
          <w:ilvl w:val="0"/>
          <w:numId w:val="0"/>
        </w:numPr>
        <w:spacing w:before="0" w:after="0" w:line="240" w:lineRule="auto"/>
        <w:ind w:left="284"/>
        <w:rPr>
          <w:sz w:val="22"/>
          <w:szCs w:val="22"/>
        </w:rPr>
      </w:pPr>
      <w:r w:rsidRPr="00F715E7">
        <w:rPr>
          <w:sz w:val="22"/>
          <w:szCs w:val="22"/>
        </w:rPr>
        <w:t>En cuanto a la violación al artículo 116 constitucional y a los principios de equidad y supremacía constitucional, la Sala Superior del Tribunal Electoral del Poder Judicial de la Federación estim</w:t>
      </w:r>
      <w:r w:rsidR="004E6E34" w:rsidRPr="00F715E7">
        <w:rPr>
          <w:sz w:val="22"/>
          <w:szCs w:val="22"/>
        </w:rPr>
        <w:t>ó</w:t>
      </w:r>
      <w:r w:rsidRPr="00F715E7">
        <w:rPr>
          <w:sz w:val="22"/>
          <w:szCs w:val="22"/>
        </w:rPr>
        <w:t xml:space="preserve"> que es constitucional porque los </w:t>
      </w:r>
      <w:r w:rsidR="00F8679C">
        <w:rPr>
          <w:sz w:val="22"/>
          <w:szCs w:val="22"/>
        </w:rPr>
        <w:t>C</w:t>
      </w:r>
      <w:r w:rsidRPr="00F715E7">
        <w:rPr>
          <w:sz w:val="22"/>
          <w:szCs w:val="22"/>
        </w:rPr>
        <w:t>ongresos de las entidades federativas gozan de libertad de configuración en el establecimiento del financiamiento público de los partidos políticos nacional con registro local.</w:t>
      </w:r>
    </w:p>
    <w:p w14:paraId="04600D1B" w14:textId="77777777" w:rsidR="00A85C0C" w:rsidRPr="00F715E7" w:rsidRDefault="00A85C0C" w:rsidP="001E1EF8">
      <w:pPr>
        <w:pStyle w:val="Estilo1"/>
        <w:numPr>
          <w:ilvl w:val="0"/>
          <w:numId w:val="0"/>
        </w:numPr>
        <w:spacing w:before="0" w:after="0" w:line="240" w:lineRule="auto"/>
        <w:ind w:left="284"/>
        <w:rPr>
          <w:sz w:val="22"/>
          <w:szCs w:val="22"/>
        </w:rPr>
      </w:pPr>
    </w:p>
    <w:p w14:paraId="2F84AFDD" w14:textId="4F515154" w:rsidR="00691781" w:rsidRPr="00F715E7" w:rsidRDefault="00691781" w:rsidP="0098787A">
      <w:pPr>
        <w:pStyle w:val="Estilo1"/>
        <w:numPr>
          <w:ilvl w:val="0"/>
          <w:numId w:val="0"/>
        </w:numPr>
        <w:spacing w:before="0" w:after="0" w:line="240" w:lineRule="auto"/>
        <w:ind w:left="284"/>
        <w:rPr>
          <w:sz w:val="22"/>
          <w:szCs w:val="22"/>
        </w:rPr>
      </w:pPr>
      <w:r w:rsidRPr="00F715E7">
        <w:rPr>
          <w:sz w:val="22"/>
          <w:szCs w:val="22"/>
        </w:rPr>
        <w:t xml:space="preserve">Al respecto, </w:t>
      </w:r>
      <w:r w:rsidR="004E6E34" w:rsidRPr="00F715E7">
        <w:rPr>
          <w:sz w:val="22"/>
          <w:szCs w:val="22"/>
        </w:rPr>
        <w:t>consideró</w:t>
      </w:r>
      <w:r w:rsidRPr="00F715E7">
        <w:rPr>
          <w:sz w:val="22"/>
          <w:szCs w:val="22"/>
        </w:rPr>
        <w:t xml:space="preserve"> relevante que, tratándose del financiamiento público para los partidos locales, la Ley General de Partidos Políticos establece reglas precisas para su otorgamiento; sin embargo, en el caso del financiamiento público estatal para los partidos políticos nacionales, únicamente prevé la obligación de otorgarlo, dejando en libertad de configuración a las entidades federativas para establecer las reglas para su otorgamiento.</w:t>
      </w:r>
    </w:p>
    <w:p w14:paraId="7DA9F13F" w14:textId="77777777" w:rsidR="00A85C0C" w:rsidRPr="00F715E7" w:rsidRDefault="00A85C0C" w:rsidP="001E1EF8">
      <w:pPr>
        <w:pStyle w:val="Estilo1"/>
        <w:numPr>
          <w:ilvl w:val="0"/>
          <w:numId w:val="0"/>
        </w:numPr>
        <w:spacing w:before="0" w:after="0" w:line="240" w:lineRule="auto"/>
        <w:ind w:left="284"/>
        <w:rPr>
          <w:sz w:val="22"/>
          <w:szCs w:val="22"/>
        </w:rPr>
      </w:pPr>
    </w:p>
    <w:p w14:paraId="105B7818" w14:textId="3652688C" w:rsidR="00691781" w:rsidRPr="00F715E7" w:rsidRDefault="00691781" w:rsidP="0098787A">
      <w:pPr>
        <w:pStyle w:val="Estilo1"/>
        <w:numPr>
          <w:ilvl w:val="0"/>
          <w:numId w:val="0"/>
        </w:numPr>
        <w:spacing w:before="0" w:after="0" w:line="240" w:lineRule="auto"/>
        <w:ind w:left="284"/>
        <w:rPr>
          <w:sz w:val="22"/>
          <w:szCs w:val="22"/>
        </w:rPr>
      </w:pPr>
      <w:r w:rsidRPr="00F715E7">
        <w:rPr>
          <w:sz w:val="22"/>
          <w:szCs w:val="22"/>
        </w:rPr>
        <w:t xml:space="preserve">Por tanto, el artículo 51 de la Ley General de Partidos Políticos no es aplicable para definir el monto del financiamiento de los partidos políticos nacionales, con registro local, dado </w:t>
      </w:r>
      <w:r w:rsidR="004E6E34" w:rsidRPr="00F715E7">
        <w:rPr>
          <w:sz w:val="22"/>
          <w:szCs w:val="22"/>
        </w:rPr>
        <w:t>que existe</w:t>
      </w:r>
      <w:r w:rsidRPr="00F715E7">
        <w:rPr>
          <w:sz w:val="22"/>
          <w:szCs w:val="22"/>
        </w:rPr>
        <w:t xml:space="preserve"> en ese aspecto libertad configurativa de los estados.</w:t>
      </w:r>
    </w:p>
    <w:p w14:paraId="128197D5" w14:textId="77777777" w:rsidR="00A85C0C" w:rsidRPr="00F715E7" w:rsidRDefault="00A85C0C" w:rsidP="001E1EF8">
      <w:pPr>
        <w:pStyle w:val="Estilo1"/>
        <w:numPr>
          <w:ilvl w:val="0"/>
          <w:numId w:val="0"/>
        </w:numPr>
        <w:spacing w:before="0" w:after="0" w:line="240" w:lineRule="auto"/>
        <w:ind w:left="284"/>
        <w:rPr>
          <w:sz w:val="22"/>
          <w:szCs w:val="22"/>
        </w:rPr>
      </w:pPr>
    </w:p>
    <w:p w14:paraId="201AFD26" w14:textId="45F6EEBC" w:rsidR="00691781" w:rsidRPr="00F715E7" w:rsidRDefault="00691781" w:rsidP="0098787A">
      <w:pPr>
        <w:pStyle w:val="Estilo1"/>
        <w:numPr>
          <w:ilvl w:val="0"/>
          <w:numId w:val="0"/>
        </w:numPr>
        <w:spacing w:before="0" w:after="0" w:line="240" w:lineRule="auto"/>
        <w:ind w:left="284"/>
        <w:rPr>
          <w:sz w:val="22"/>
          <w:szCs w:val="22"/>
        </w:rPr>
      </w:pPr>
      <w:r w:rsidRPr="00F715E7">
        <w:rPr>
          <w:noProof/>
          <w:sz w:val="22"/>
          <w:szCs w:val="22"/>
        </w:rPr>
        <mc:AlternateContent>
          <mc:Choice Requires="wps">
            <w:drawing>
              <wp:anchor distT="0" distB="0" distL="114300" distR="114300" simplePos="0" relativeHeight="251661312" behindDoc="1" locked="0" layoutInCell="1" allowOverlap="1" wp14:anchorId="466E58C5" wp14:editId="12505FBA">
                <wp:simplePos x="0" y="0"/>
                <wp:positionH relativeFrom="page">
                  <wp:posOffset>2051685</wp:posOffset>
                </wp:positionH>
                <wp:positionV relativeFrom="paragraph">
                  <wp:posOffset>162560</wp:posOffset>
                </wp:positionV>
                <wp:extent cx="2247265" cy="156845"/>
                <wp:effectExtent l="3810" t="635" r="0" b="44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98E85" w14:textId="77777777" w:rsidR="00691781" w:rsidRDefault="00691781" w:rsidP="00691781">
                            <w:pPr>
                              <w:tabs>
                                <w:tab w:val="left" w:pos="3434"/>
                              </w:tabs>
                              <w:spacing w:line="246" w:lineRule="exact"/>
                            </w:pPr>
                            <w:r>
                              <w:rPr>
                                <w:color w:val="181818"/>
                                <w:w w:val="90"/>
                                <w:sz w:val="13"/>
                              </w:rPr>
                              <w:t>'</w:t>
                            </w:r>
                            <w:r>
                              <w:rPr>
                                <w:color w:val="181818"/>
                                <w:w w:val="90"/>
                                <w:sz w:val="13"/>
                              </w:rPr>
                              <w:tab/>
                            </w:r>
                            <w:r>
                              <w:rPr>
                                <w:color w:val="3D3D3D"/>
                                <w:spacing w:val="-17"/>
                                <w:w w:val="90"/>
                              </w:rPr>
                              <w:t>.</w:t>
                            </w:r>
                            <w:r>
                              <w:rPr>
                                <w:color w:val="010101"/>
                                <w:spacing w:val="-17"/>
                                <w:w w:val="9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E58C5" id="_x0000_t202" coordsize="21600,21600" o:spt="202" path="m,l,21600r21600,l21600,xe">
                <v:stroke joinstyle="miter"/>
                <v:path gradientshapeok="t" o:connecttype="rect"/>
              </v:shapetype>
              <v:shape id="Text Box 6" o:spid="_x0000_s1026" type="#_x0000_t202" style="position:absolute;left:0;text-align:left;margin-left:161.55pt;margin-top:12.8pt;width:176.95pt;height:1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" filled="f" stroked="f">
                <v:textbox inset="0,0,0,0">
                  <w:txbxContent>
                    <w:p w14:paraId="59C98E85" w14:textId="77777777" w:rsidR="00691781" w:rsidRDefault="00691781" w:rsidP="00691781">
                      <w:pPr>
                        <w:tabs>
                          <w:tab w:val="left" w:pos="3434"/>
                        </w:tabs>
                        <w:spacing w:line="246" w:lineRule="exact"/>
                      </w:pPr>
                      <w:r>
                        <w:rPr>
                          <w:color w:val="181818"/>
                          <w:w w:val="90"/>
                          <w:sz w:val="13"/>
                        </w:rPr>
                        <w:t>'</w:t>
                      </w:r>
                      <w:r>
                        <w:rPr>
                          <w:color w:val="181818"/>
                          <w:w w:val="90"/>
                          <w:sz w:val="13"/>
                        </w:rPr>
                        <w:tab/>
                      </w:r>
                      <w:r>
                        <w:rPr>
                          <w:color w:val="3D3D3D"/>
                          <w:spacing w:val="-17"/>
                          <w:w w:val="90"/>
                        </w:rPr>
                        <w:t>.</w:t>
                      </w:r>
                      <w:r>
                        <w:rPr>
                          <w:color w:val="010101"/>
                          <w:spacing w:val="-17"/>
                          <w:w w:val="90"/>
                        </w:rPr>
                        <w:t>.</w:t>
                      </w:r>
                    </w:p>
                  </w:txbxContent>
                </v:textbox>
                <w10:wrap anchorx="page"/>
              </v:shape>
            </w:pict>
          </mc:Fallback>
        </mc:AlternateContent>
      </w:r>
      <w:r w:rsidRPr="00F715E7">
        <w:rPr>
          <w:sz w:val="22"/>
          <w:szCs w:val="22"/>
        </w:rPr>
        <w:t>En las acciones de inconstitucionalidad 38/2017 y sus acumuladas, correspondientes al Estado de Jalisco, así como en las acciones de inconstitucionalidad 100/2018 y sus acumuladas relacionadas con Tabasco, la Suprema Corte resolvió que las entidades federativas gozan de libertad de configuración en el establecimiento del  financiamiento público de los partidos  políticos nacionales  que conserven  su registro en las entidades federativas, en términos de lo dispuesto en el artículo 52 de la propia Ley General de Partidos Políticos.</w:t>
      </w:r>
    </w:p>
    <w:p w14:paraId="077E4E16" w14:textId="7520B3CD" w:rsidR="0062769F" w:rsidRPr="00F715E7" w:rsidRDefault="0062769F" w:rsidP="0098787A">
      <w:pPr>
        <w:pStyle w:val="Estilo1"/>
        <w:numPr>
          <w:ilvl w:val="0"/>
          <w:numId w:val="0"/>
        </w:numPr>
        <w:spacing w:before="0" w:after="0" w:line="240" w:lineRule="auto"/>
        <w:ind w:left="284"/>
        <w:rPr>
          <w:sz w:val="22"/>
          <w:szCs w:val="22"/>
        </w:rPr>
      </w:pPr>
    </w:p>
    <w:p w14:paraId="029EC586" w14:textId="77777777" w:rsidR="005D5E4B" w:rsidRPr="00F715E7" w:rsidRDefault="005D5E4B" w:rsidP="0098787A">
      <w:pPr>
        <w:pStyle w:val="Estilo1"/>
        <w:numPr>
          <w:ilvl w:val="0"/>
          <w:numId w:val="0"/>
        </w:numPr>
        <w:spacing w:before="0" w:after="0" w:line="240" w:lineRule="auto"/>
        <w:ind w:left="284"/>
        <w:rPr>
          <w:sz w:val="22"/>
          <w:szCs w:val="22"/>
        </w:rPr>
      </w:pPr>
    </w:p>
    <w:p w14:paraId="52552BB6" w14:textId="658CA737" w:rsidR="00B55401" w:rsidRPr="00F715E7" w:rsidRDefault="00F6111B" w:rsidP="0098787A">
      <w:pPr>
        <w:pStyle w:val="Estilo1"/>
        <w:numPr>
          <w:ilvl w:val="0"/>
          <w:numId w:val="6"/>
        </w:numPr>
        <w:spacing w:before="0" w:after="0"/>
        <w:ind w:left="0"/>
        <w:rPr>
          <w:sz w:val="26"/>
          <w:szCs w:val="26"/>
        </w:rPr>
      </w:pPr>
      <w:r w:rsidRPr="00F715E7">
        <w:rPr>
          <w:b/>
          <w:sz w:val="26"/>
          <w:szCs w:val="26"/>
        </w:rPr>
        <w:t xml:space="preserve">Pedimento </w:t>
      </w:r>
      <w:r w:rsidR="00B55401" w:rsidRPr="00F715E7">
        <w:rPr>
          <w:b/>
          <w:sz w:val="26"/>
          <w:szCs w:val="26"/>
        </w:rPr>
        <w:t xml:space="preserve">de la Fiscalía General de la República y de la Consejería Jurídica del Gobierno Federal. </w:t>
      </w:r>
      <w:r w:rsidR="0066086C" w:rsidRPr="00F715E7">
        <w:rPr>
          <w:sz w:val="26"/>
          <w:szCs w:val="26"/>
        </w:rPr>
        <w:t>La</w:t>
      </w:r>
      <w:r w:rsidR="00B55401" w:rsidRPr="00F715E7">
        <w:rPr>
          <w:sz w:val="26"/>
          <w:szCs w:val="26"/>
        </w:rPr>
        <w:t xml:space="preserve"> Fiscalía General de la República </w:t>
      </w:r>
      <w:r w:rsidR="0066086C" w:rsidRPr="00F715E7">
        <w:rPr>
          <w:sz w:val="26"/>
          <w:szCs w:val="26"/>
        </w:rPr>
        <w:t xml:space="preserve">y la </w:t>
      </w:r>
      <w:r w:rsidR="00B55401" w:rsidRPr="00F715E7">
        <w:rPr>
          <w:sz w:val="26"/>
          <w:szCs w:val="26"/>
        </w:rPr>
        <w:t>Consejería Jurídica del Gobierno Federal</w:t>
      </w:r>
      <w:r w:rsidR="0066086C" w:rsidRPr="00F715E7">
        <w:rPr>
          <w:sz w:val="26"/>
          <w:szCs w:val="26"/>
        </w:rPr>
        <w:t xml:space="preserve"> no</w:t>
      </w:r>
      <w:r w:rsidR="00B55401" w:rsidRPr="00F715E7">
        <w:rPr>
          <w:sz w:val="26"/>
          <w:szCs w:val="26"/>
        </w:rPr>
        <w:t xml:space="preserve"> emitieron </w:t>
      </w:r>
      <w:r w:rsidR="00242C8A" w:rsidRPr="00F715E7">
        <w:rPr>
          <w:sz w:val="26"/>
          <w:szCs w:val="26"/>
        </w:rPr>
        <w:t>opinión</w:t>
      </w:r>
      <w:r w:rsidR="00B55401" w:rsidRPr="00F715E7">
        <w:rPr>
          <w:sz w:val="26"/>
          <w:szCs w:val="26"/>
        </w:rPr>
        <w:t>.</w:t>
      </w:r>
    </w:p>
    <w:p w14:paraId="5FF7CDE8" w14:textId="77777777" w:rsidR="00A85C0C" w:rsidRPr="00F715E7" w:rsidRDefault="00A85C0C" w:rsidP="001E1EF8">
      <w:pPr>
        <w:pStyle w:val="Estilo1"/>
        <w:numPr>
          <w:ilvl w:val="0"/>
          <w:numId w:val="0"/>
        </w:numPr>
        <w:spacing w:before="0" w:after="0"/>
        <w:rPr>
          <w:sz w:val="26"/>
          <w:szCs w:val="26"/>
        </w:rPr>
      </w:pPr>
    </w:p>
    <w:p w14:paraId="719E87F2" w14:textId="3AE73426" w:rsidR="00ED1CCD" w:rsidRPr="00F715E7" w:rsidRDefault="00372E21" w:rsidP="0098787A">
      <w:pPr>
        <w:pStyle w:val="Estilo1"/>
        <w:numPr>
          <w:ilvl w:val="0"/>
          <w:numId w:val="6"/>
        </w:numPr>
        <w:spacing w:before="0" w:after="0"/>
        <w:ind w:left="0"/>
        <w:rPr>
          <w:sz w:val="26"/>
          <w:szCs w:val="26"/>
        </w:rPr>
      </w:pPr>
      <w:r w:rsidRPr="00F715E7">
        <w:rPr>
          <w:b/>
          <w:sz w:val="26"/>
          <w:szCs w:val="26"/>
        </w:rPr>
        <w:t>Informe del Instituto Nacional Electoral.</w:t>
      </w:r>
      <w:r w:rsidR="008A1CB3" w:rsidRPr="00F715E7">
        <w:rPr>
          <w:bCs/>
          <w:sz w:val="26"/>
          <w:szCs w:val="26"/>
        </w:rPr>
        <w:t xml:space="preserve"> </w:t>
      </w:r>
      <w:r w:rsidR="00ED1CCD" w:rsidRPr="00F715E7">
        <w:rPr>
          <w:bCs/>
          <w:sz w:val="26"/>
          <w:szCs w:val="26"/>
        </w:rPr>
        <w:t xml:space="preserve">Por escrito recibido el once de febrero de dos mil veintidós, el Director Jurídico del Instituto Nacional Electoral remitió los estatutos, el registro vigente y los nombres de quienes </w:t>
      </w:r>
      <w:r w:rsidR="00ED1CCD" w:rsidRPr="00F715E7">
        <w:rPr>
          <w:bCs/>
          <w:sz w:val="26"/>
          <w:szCs w:val="26"/>
        </w:rPr>
        <w:lastRenderedPageBreak/>
        <w:t>presiden e integran los respectivos Comités Ejecutivos Nacionales de los partidos políticos accionantes.</w:t>
      </w:r>
      <w:r w:rsidR="00ED1CCD" w:rsidRPr="00F715E7">
        <w:rPr>
          <w:b/>
          <w:sz w:val="26"/>
          <w:szCs w:val="26"/>
        </w:rPr>
        <w:t xml:space="preserve"> </w:t>
      </w:r>
    </w:p>
    <w:p w14:paraId="52C85D5C" w14:textId="77777777" w:rsidR="00ED1CCD" w:rsidRPr="00F715E7" w:rsidRDefault="00ED1CCD" w:rsidP="0098787A">
      <w:pPr>
        <w:pStyle w:val="Estilo1"/>
        <w:numPr>
          <w:ilvl w:val="0"/>
          <w:numId w:val="0"/>
        </w:numPr>
        <w:spacing w:before="0" w:after="0"/>
        <w:rPr>
          <w:sz w:val="26"/>
          <w:szCs w:val="26"/>
        </w:rPr>
      </w:pPr>
    </w:p>
    <w:p w14:paraId="4DEFF85F" w14:textId="77777777" w:rsidR="00023811" w:rsidRPr="00F715E7" w:rsidRDefault="00643BF6" w:rsidP="0098787A">
      <w:pPr>
        <w:pStyle w:val="Estilo1"/>
        <w:numPr>
          <w:ilvl w:val="0"/>
          <w:numId w:val="6"/>
        </w:numPr>
        <w:spacing w:before="0" w:after="0"/>
        <w:ind w:left="0"/>
        <w:rPr>
          <w:sz w:val="26"/>
          <w:szCs w:val="26"/>
        </w:rPr>
      </w:pPr>
      <w:r w:rsidRPr="00F715E7">
        <w:rPr>
          <w:b/>
          <w:sz w:val="26"/>
          <w:szCs w:val="26"/>
        </w:rPr>
        <w:t xml:space="preserve">Informe del Organismo Público Local Electoral del Estado de </w:t>
      </w:r>
      <w:r w:rsidR="00C35DDC" w:rsidRPr="00F715E7">
        <w:rPr>
          <w:b/>
          <w:sz w:val="26"/>
          <w:szCs w:val="26"/>
        </w:rPr>
        <w:t>Veracruz</w:t>
      </w:r>
      <w:r w:rsidR="00102F62" w:rsidRPr="00F715E7">
        <w:rPr>
          <w:b/>
          <w:sz w:val="26"/>
          <w:szCs w:val="26"/>
        </w:rPr>
        <w:t xml:space="preserve"> e inicio del proceso electoral</w:t>
      </w:r>
      <w:r w:rsidR="0054142B" w:rsidRPr="00F715E7">
        <w:rPr>
          <w:b/>
          <w:sz w:val="26"/>
          <w:szCs w:val="26"/>
        </w:rPr>
        <w:t>.</w:t>
      </w:r>
      <w:r w:rsidRPr="00F715E7">
        <w:rPr>
          <w:b/>
          <w:sz w:val="26"/>
          <w:szCs w:val="26"/>
        </w:rPr>
        <w:t xml:space="preserve"> </w:t>
      </w:r>
      <w:r w:rsidR="00ED1CCD" w:rsidRPr="00F715E7">
        <w:rPr>
          <w:sz w:val="26"/>
          <w:szCs w:val="26"/>
        </w:rPr>
        <w:t xml:space="preserve">Por escrito recibido el quince de febrero de dos mil veintidós, </w:t>
      </w:r>
      <w:r w:rsidR="00023811" w:rsidRPr="00F715E7">
        <w:rPr>
          <w:sz w:val="26"/>
          <w:szCs w:val="26"/>
        </w:rPr>
        <w:t xml:space="preserve">el Secretario Ejecutivo del Organismo Público </w:t>
      </w:r>
      <w:r w:rsidR="00023811" w:rsidRPr="00F715E7">
        <w:rPr>
          <w:bCs/>
          <w:sz w:val="26"/>
          <w:szCs w:val="26"/>
        </w:rPr>
        <w:t>Electoral</w:t>
      </w:r>
      <w:r w:rsidR="00023811" w:rsidRPr="00F715E7">
        <w:rPr>
          <w:sz w:val="26"/>
          <w:szCs w:val="26"/>
        </w:rPr>
        <w:t xml:space="preserve"> de Veracruz informó que el próximo proceso electoral ordinario local iniciará en los primeros </w:t>
      </w:r>
      <w:r w:rsidR="00023811" w:rsidRPr="00F715E7">
        <w:rPr>
          <w:b/>
          <w:bCs/>
          <w:sz w:val="26"/>
          <w:szCs w:val="26"/>
        </w:rPr>
        <w:t>diez días de noviembre del año dos mil veintitrés</w:t>
      </w:r>
      <w:r w:rsidR="00023811" w:rsidRPr="00F715E7">
        <w:rPr>
          <w:sz w:val="26"/>
          <w:szCs w:val="26"/>
        </w:rPr>
        <w:t>, proceso que renovará la Gubernatura del Estado de Veracruz y las cincuenta diputaciones que integran el Congreso local.</w:t>
      </w:r>
    </w:p>
    <w:p w14:paraId="0A184189" w14:textId="77777777" w:rsidR="00023811" w:rsidRPr="00F715E7" w:rsidRDefault="00023811" w:rsidP="0098787A">
      <w:pPr>
        <w:pStyle w:val="Estilo1"/>
        <w:numPr>
          <w:ilvl w:val="0"/>
          <w:numId w:val="0"/>
        </w:numPr>
        <w:spacing w:before="0" w:after="0"/>
        <w:ind w:left="720"/>
        <w:rPr>
          <w:sz w:val="26"/>
          <w:szCs w:val="26"/>
        </w:rPr>
      </w:pPr>
    </w:p>
    <w:p w14:paraId="5F96E342" w14:textId="05050700" w:rsidR="00023811" w:rsidRPr="00F715E7" w:rsidRDefault="00023811" w:rsidP="0098787A">
      <w:pPr>
        <w:pStyle w:val="Estilo1"/>
        <w:numPr>
          <w:ilvl w:val="0"/>
          <w:numId w:val="6"/>
        </w:numPr>
        <w:spacing w:before="0" w:after="0"/>
        <w:ind w:left="0"/>
        <w:rPr>
          <w:sz w:val="26"/>
          <w:szCs w:val="26"/>
        </w:rPr>
      </w:pPr>
      <w:r w:rsidRPr="00F715E7">
        <w:rPr>
          <w:sz w:val="26"/>
          <w:szCs w:val="26"/>
        </w:rPr>
        <w:t xml:space="preserve">También informó que, derivado del proceso electoral ordinario local 2020-2021 y por mandato jurisdiccional, el Congreso del Estado de Veracruz emitió los decretos 218, 219, 223 y 224, en los que se expidieron las convocatorias para la celebración de las elecciones extraordinarias en los ayuntamientos de </w:t>
      </w:r>
      <w:proofErr w:type="spellStart"/>
      <w:r w:rsidRPr="00F715E7">
        <w:rPr>
          <w:sz w:val="26"/>
          <w:szCs w:val="26"/>
        </w:rPr>
        <w:t>Chiconamel</w:t>
      </w:r>
      <w:proofErr w:type="spellEnd"/>
      <w:r w:rsidRPr="00F715E7">
        <w:rPr>
          <w:sz w:val="26"/>
          <w:szCs w:val="26"/>
        </w:rPr>
        <w:t>, Jesús Carranza, Amatitlán y Tlacotepec de Mejía, mism</w:t>
      </w:r>
      <w:r w:rsidR="00DB3519" w:rsidRPr="00F715E7">
        <w:rPr>
          <w:sz w:val="26"/>
          <w:szCs w:val="26"/>
        </w:rPr>
        <w:t>a</w:t>
      </w:r>
      <w:r w:rsidRPr="00F715E7">
        <w:rPr>
          <w:sz w:val="26"/>
          <w:szCs w:val="26"/>
        </w:rPr>
        <w:t>s que</w:t>
      </w:r>
      <w:r w:rsidR="00B21313" w:rsidRPr="00F715E7">
        <w:rPr>
          <w:sz w:val="26"/>
          <w:szCs w:val="26"/>
        </w:rPr>
        <w:t xml:space="preserve"> iniciaron su proceso</w:t>
      </w:r>
      <w:r w:rsidRPr="00F715E7">
        <w:rPr>
          <w:sz w:val="26"/>
          <w:szCs w:val="26"/>
        </w:rPr>
        <w:t xml:space="preserve"> el cinco de enero de dos mil ve</w:t>
      </w:r>
      <w:r w:rsidR="00B21313" w:rsidRPr="00F715E7">
        <w:rPr>
          <w:sz w:val="26"/>
          <w:szCs w:val="26"/>
        </w:rPr>
        <w:t>intidós</w:t>
      </w:r>
      <w:r w:rsidRPr="00F715E7">
        <w:rPr>
          <w:sz w:val="26"/>
          <w:szCs w:val="26"/>
        </w:rPr>
        <w:t>.</w:t>
      </w:r>
    </w:p>
    <w:p w14:paraId="06BF29A9" w14:textId="77777777" w:rsidR="00023811" w:rsidRPr="00F715E7" w:rsidRDefault="00023811" w:rsidP="0098787A">
      <w:pPr>
        <w:pStyle w:val="Estilo1"/>
        <w:numPr>
          <w:ilvl w:val="0"/>
          <w:numId w:val="0"/>
        </w:numPr>
        <w:spacing w:before="0" w:after="0"/>
        <w:rPr>
          <w:sz w:val="26"/>
          <w:szCs w:val="26"/>
        </w:rPr>
      </w:pPr>
    </w:p>
    <w:p w14:paraId="43B3A38C" w14:textId="77777777" w:rsidR="00580C9B" w:rsidRPr="00F715E7" w:rsidRDefault="00ED1CCD" w:rsidP="0098787A">
      <w:pPr>
        <w:pStyle w:val="Estilo1"/>
        <w:numPr>
          <w:ilvl w:val="0"/>
          <w:numId w:val="6"/>
        </w:numPr>
        <w:spacing w:before="0" w:after="0"/>
        <w:ind w:left="0"/>
        <w:rPr>
          <w:sz w:val="26"/>
          <w:szCs w:val="26"/>
        </w:rPr>
      </w:pPr>
      <w:r w:rsidRPr="00F715E7">
        <w:rPr>
          <w:b/>
          <w:sz w:val="26"/>
          <w:szCs w:val="26"/>
        </w:rPr>
        <w:t xml:space="preserve">Alegatos. </w:t>
      </w:r>
      <w:r w:rsidRPr="00F715E7">
        <w:rPr>
          <w:sz w:val="26"/>
          <w:szCs w:val="26"/>
        </w:rPr>
        <w:t>Por escrito recibido el cuatro de abril de dos mil veintidós, el Delegado del Partido de la Revolución Democrática rindió los alegatos que estimó pertinentes.</w:t>
      </w:r>
    </w:p>
    <w:p w14:paraId="5D9610B8" w14:textId="77777777" w:rsidR="00580C9B" w:rsidRPr="00F715E7" w:rsidRDefault="00580C9B" w:rsidP="0098787A">
      <w:pPr>
        <w:pStyle w:val="Estilo1"/>
        <w:numPr>
          <w:ilvl w:val="0"/>
          <w:numId w:val="0"/>
        </w:numPr>
        <w:spacing w:before="0" w:after="0"/>
        <w:rPr>
          <w:sz w:val="26"/>
          <w:szCs w:val="26"/>
        </w:rPr>
      </w:pPr>
    </w:p>
    <w:p w14:paraId="7AB56641" w14:textId="36919BD3" w:rsidR="00580C9B" w:rsidRPr="00F715E7" w:rsidRDefault="00D01FDA" w:rsidP="001E1EF8">
      <w:pPr>
        <w:pStyle w:val="Estilo1"/>
        <w:numPr>
          <w:ilvl w:val="0"/>
          <w:numId w:val="6"/>
        </w:numPr>
        <w:spacing w:before="0" w:after="0"/>
        <w:ind w:left="0"/>
        <w:rPr>
          <w:sz w:val="26"/>
          <w:szCs w:val="26"/>
        </w:rPr>
      </w:pPr>
      <w:r w:rsidRPr="00F715E7">
        <w:rPr>
          <w:sz w:val="26"/>
          <w:szCs w:val="26"/>
        </w:rPr>
        <w:t>Mediante</w:t>
      </w:r>
      <w:r w:rsidR="00ED1CCD" w:rsidRPr="00F715E7">
        <w:rPr>
          <w:sz w:val="26"/>
          <w:szCs w:val="26"/>
        </w:rPr>
        <w:t xml:space="preserve"> escrito recibido el cuatro de abril de dos mil veintidós, el Delegado del Poder Ejecutivo del Estado de Veracruz de Ignacio de la Llave </w:t>
      </w:r>
      <w:r w:rsidR="00BF3C0F" w:rsidRPr="00F715E7">
        <w:rPr>
          <w:sz w:val="26"/>
          <w:szCs w:val="26"/>
        </w:rPr>
        <w:t xml:space="preserve">formuló </w:t>
      </w:r>
      <w:r w:rsidR="00072648" w:rsidRPr="00F715E7">
        <w:rPr>
          <w:sz w:val="26"/>
          <w:szCs w:val="26"/>
        </w:rPr>
        <w:t>los propios</w:t>
      </w:r>
      <w:r w:rsidR="00BF3C0F" w:rsidRPr="00F715E7">
        <w:rPr>
          <w:sz w:val="26"/>
          <w:szCs w:val="26"/>
        </w:rPr>
        <w:t>.</w:t>
      </w:r>
    </w:p>
    <w:p w14:paraId="6EF0F806" w14:textId="77777777" w:rsidR="00A85C0C" w:rsidRPr="00F715E7" w:rsidRDefault="00A85C0C" w:rsidP="001E1EF8">
      <w:pPr>
        <w:pStyle w:val="Estilo1"/>
        <w:numPr>
          <w:ilvl w:val="0"/>
          <w:numId w:val="0"/>
        </w:numPr>
        <w:spacing w:before="0" w:after="0"/>
        <w:rPr>
          <w:sz w:val="26"/>
          <w:szCs w:val="26"/>
        </w:rPr>
      </w:pPr>
    </w:p>
    <w:p w14:paraId="7BF334B5" w14:textId="3D7805DA" w:rsidR="00ED1CCD" w:rsidRPr="00F715E7" w:rsidRDefault="00D01FDA" w:rsidP="001E1EF8">
      <w:pPr>
        <w:pStyle w:val="Estilo1"/>
        <w:numPr>
          <w:ilvl w:val="0"/>
          <w:numId w:val="6"/>
        </w:numPr>
        <w:spacing w:before="0" w:after="0"/>
        <w:ind w:left="0"/>
        <w:rPr>
          <w:sz w:val="26"/>
          <w:szCs w:val="26"/>
        </w:rPr>
      </w:pPr>
      <w:r w:rsidRPr="00F715E7">
        <w:rPr>
          <w:sz w:val="26"/>
          <w:szCs w:val="26"/>
        </w:rPr>
        <w:lastRenderedPageBreak/>
        <w:t>Y por</w:t>
      </w:r>
      <w:r w:rsidR="00ED1CCD" w:rsidRPr="00F715E7">
        <w:rPr>
          <w:sz w:val="26"/>
          <w:szCs w:val="26"/>
        </w:rPr>
        <w:t xml:space="preserve"> escrito recibido el once de abril de dos mil veintidós, la representante legal del Congreso del Estado de Veracruz rindió los alegato</w:t>
      </w:r>
      <w:r w:rsidR="00BF3C0F" w:rsidRPr="00F715E7">
        <w:rPr>
          <w:sz w:val="26"/>
          <w:szCs w:val="26"/>
        </w:rPr>
        <w:t>s correspondientes</w:t>
      </w:r>
      <w:r w:rsidR="00ED1CCD" w:rsidRPr="00F715E7">
        <w:rPr>
          <w:sz w:val="26"/>
          <w:szCs w:val="26"/>
        </w:rPr>
        <w:t>.</w:t>
      </w:r>
    </w:p>
    <w:p w14:paraId="40855356" w14:textId="77777777" w:rsidR="00752428" w:rsidRPr="00F715E7" w:rsidRDefault="00752428" w:rsidP="00752428">
      <w:pPr>
        <w:pStyle w:val="Estilo1"/>
        <w:numPr>
          <w:ilvl w:val="0"/>
          <w:numId w:val="0"/>
        </w:numPr>
        <w:spacing w:before="0" w:after="0"/>
        <w:rPr>
          <w:sz w:val="26"/>
          <w:szCs w:val="26"/>
        </w:rPr>
      </w:pPr>
    </w:p>
    <w:p w14:paraId="47E6F81F" w14:textId="7282CA02" w:rsidR="00115FD5" w:rsidRPr="00F715E7" w:rsidRDefault="00754D4E" w:rsidP="0098787A">
      <w:pPr>
        <w:pStyle w:val="Estilo1"/>
        <w:numPr>
          <w:ilvl w:val="0"/>
          <w:numId w:val="6"/>
        </w:numPr>
        <w:spacing w:before="0" w:after="0"/>
        <w:ind w:left="0"/>
        <w:rPr>
          <w:sz w:val="26"/>
          <w:szCs w:val="26"/>
        </w:rPr>
      </w:pPr>
      <w:r w:rsidRPr="00F715E7">
        <w:rPr>
          <w:b/>
          <w:sz w:val="26"/>
          <w:szCs w:val="26"/>
        </w:rPr>
        <w:t>C</w:t>
      </w:r>
      <w:r w:rsidR="001D3A97" w:rsidRPr="00F715E7">
        <w:rPr>
          <w:b/>
          <w:sz w:val="26"/>
          <w:szCs w:val="26"/>
        </w:rPr>
        <w:t xml:space="preserve">ierre de </w:t>
      </w:r>
      <w:r w:rsidR="00B55401" w:rsidRPr="00F715E7">
        <w:rPr>
          <w:b/>
          <w:sz w:val="26"/>
          <w:szCs w:val="26"/>
        </w:rPr>
        <w:t xml:space="preserve">la </w:t>
      </w:r>
      <w:r w:rsidR="001D3A97" w:rsidRPr="00F715E7">
        <w:rPr>
          <w:b/>
          <w:sz w:val="26"/>
          <w:szCs w:val="26"/>
        </w:rPr>
        <w:t xml:space="preserve">instrucción. </w:t>
      </w:r>
      <w:r w:rsidR="001D3A97" w:rsidRPr="00F715E7">
        <w:rPr>
          <w:sz w:val="26"/>
          <w:szCs w:val="26"/>
        </w:rPr>
        <w:t>El</w:t>
      </w:r>
      <w:r w:rsidR="006F2C5D" w:rsidRPr="00F715E7">
        <w:rPr>
          <w:sz w:val="26"/>
          <w:szCs w:val="26"/>
        </w:rPr>
        <w:t xml:space="preserve"> </w:t>
      </w:r>
      <w:r w:rsidR="00072648" w:rsidRPr="00F715E7">
        <w:rPr>
          <w:sz w:val="26"/>
          <w:szCs w:val="26"/>
        </w:rPr>
        <w:t>quince de julio de dos mil veintidós</w:t>
      </w:r>
      <w:r w:rsidR="001D3A97" w:rsidRPr="00F715E7">
        <w:rPr>
          <w:sz w:val="26"/>
          <w:szCs w:val="26"/>
        </w:rPr>
        <w:t>, se declaró cerrada la instrucción y se e</w:t>
      </w:r>
      <w:r w:rsidR="00CF77FB" w:rsidRPr="00F715E7">
        <w:rPr>
          <w:sz w:val="26"/>
          <w:szCs w:val="26"/>
        </w:rPr>
        <w:t>nvió el expediente a</w:t>
      </w:r>
      <w:r w:rsidR="001A0799" w:rsidRPr="00F715E7">
        <w:rPr>
          <w:sz w:val="26"/>
          <w:szCs w:val="26"/>
        </w:rPr>
        <w:t xml:space="preserve"> la</w:t>
      </w:r>
      <w:r w:rsidR="00CF77FB" w:rsidRPr="00F715E7">
        <w:rPr>
          <w:sz w:val="26"/>
          <w:szCs w:val="26"/>
        </w:rPr>
        <w:t xml:space="preserve"> Ministr</w:t>
      </w:r>
      <w:r w:rsidR="001A0799" w:rsidRPr="00F715E7">
        <w:rPr>
          <w:sz w:val="26"/>
          <w:szCs w:val="26"/>
        </w:rPr>
        <w:t>a</w:t>
      </w:r>
      <w:r w:rsidR="00CF77FB" w:rsidRPr="00F715E7">
        <w:rPr>
          <w:sz w:val="26"/>
          <w:szCs w:val="26"/>
        </w:rPr>
        <w:t xml:space="preserve"> </w:t>
      </w:r>
      <w:r w:rsidR="006F2C5D" w:rsidRPr="00F715E7">
        <w:rPr>
          <w:sz w:val="26"/>
          <w:szCs w:val="26"/>
        </w:rPr>
        <w:t>i</w:t>
      </w:r>
      <w:r w:rsidR="001D3A97" w:rsidRPr="00F715E7">
        <w:rPr>
          <w:sz w:val="26"/>
          <w:szCs w:val="26"/>
        </w:rPr>
        <w:t>nstructor</w:t>
      </w:r>
      <w:r w:rsidR="001A0799" w:rsidRPr="00F715E7">
        <w:rPr>
          <w:sz w:val="26"/>
          <w:szCs w:val="26"/>
        </w:rPr>
        <w:t>a</w:t>
      </w:r>
      <w:r w:rsidR="001D3A97" w:rsidRPr="00F715E7">
        <w:rPr>
          <w:sz w:val="26"/>
          <w:szCs w:val="26"/>
        </w:rPr>
        <w:t xml:space="preserve"> para la elaboración del proyecto de resolución.</w:t>
      </w:r>
    </w:p>
    <w:p w14:paraId="06736CFF" w14:textId="77777777" w:rsidR="00C9072C" w:rsidRPr="00F715E7" w:rsidRDefault="00C9072C" w:rsidP="001E1EF8">
      <w:pPr>
        <w:pStyle w:val="Estilo1"/>
        <w:numPr>
          <w:ilvl w:val="0"/>
          <w:numId w:val="0"/>
        </w:numPr>
        <w:spacing w:before="0" w:after="0"/>
      </w:pPr>
    </w:p>
    <w:p w14:paraId="02C98C8A" w14:textId="3FBACF30" w:rsidR="00B45911" w:rsidRPr="00F715E7" w:rsidRDefault="00B45911" w:rsidP="001E1EF8">
      <w:pPr>
        <w:pStyle w:val="Ttulo1"/>
        <w:spacing w:before="0" w:after="0"/>
        <w:ind w:left="426" w:right="335"/>
        <w:rPr>
          <w:sz w:val="26"/>
          <w:szCs w:val="26"/>
        </w:rPr>
      </w:pPr>
      <w:bookmarkStart w:id="13" w:name="_Toc34914759"/>
      <w:bookmarkStart w:id="14" w:name="_Toc69888800"/>
      <w:r w:rsidRPr="00F715E7">
        <w:rPr>
          <w:sz w:val="26"/>
          <w:szCs w:val="26"/>
        </w:rPr>
        <w:t>COMPETENCIA</w:t>
      </w:r>
      <w:bookmarkEnd w:id="13"/>
      <w:bookmarkEnd w:id="14"/>
      <w:r w:rsidR="00F14AA9">
        <w:rPr>
          <w:sz w:val="26"/>
          <w:szCs w:val="26"/>
        </w:rPr>
        <w:t>.</w:t>
      </w:r>
    </w:p>
    <w:p w14:paraId="05204E92" w14:textId="77777777" w:rsidR="00A85C0C" w:rsidRPr="00F715E7" w:rsidRDefault="00A85C0C" w:rsidP="001E1EF8">
      <w:pPr>
        <w:pStyle w:val="Estilo1"/>
        <w:numPr>
          <w:ilvl w:val="0"/>
          <w:numId w:val="0"/>
        </w:numPr>
        <w:spacing w:before="0" w:after="0"/>
        <w:rPr>
          <w:sz w:val="26"/>
          <w:szCs w:val="26"/>
        </w:rPr>
      </w:pPr>
    </w:p>
    <w:p w14:paraId="3CA27E14" w14:textId="32DB58E9" w:rsidR="004039EB" w:rsidRPr="00F715E7" w:rsidRDefault="00B45911" w:rsidP="0098787A">
      <w:pPr>
        <w:pStyle w:val="Estilo1"/>
        <w:numPr>
          <w:ilvl w:val="0"/>
          <w:numId w:val="6"/>
        </w:numPr>
        <w:spacing w:before="0" w:after="0"/>
        <w:ind w:left="0"/>
        <w:rPr>
          <w:sz w:val="26"/>
          <w:szCs w:val="26"/>
        </w:rPr>
      </w:pPr>
      <w:r w:rsidRPr="00F715E7">
        <w:rPr>
          <w:sz w:val="26"/>
          <w:szCs w:val="26"/>
          <w:lang w:val="es-ES_tradnl"/>
        </w:rPr>
        <w:t xml:space="preserve">Este Tribunal Pleno de la Suprema Corte de Justicia de la Nación es competente para </w:t>
      </w:r>
      <w:r w:rsidRPr="00F715E7">
        <w:rPr>
          <w:sz w:val="26"/>
          <w:szCs w:val="26"/>
        </w:rPr>
        <w:t>resolver</w:t>
      </w:r>
      <w:r w:rsidRPr="00F715E7">
        <w:rPr>
          <w:sz w:val="26"/>
          <w:szCs w:val="26"/>
          <w:lang w:val="es-ES_tradnl"/>
        </w:rPr>
        <w:t xml:space="preserve"> la presente acción de inconstitucionalidad</w:t>
      </w:r>
      <w:r w:rsidR="00532579" w:rsidRPr="00F715E7">
        <w:rPr>
          <w:sz w:val="26"/>
          <w:szCs w:val="26"/>
          <w:lang w:val="es-ES_tradnl"/>
        </w:rPr>
        <w:t xml:space="preserve"> y sus acumuladas</w:t>
      </w:r>
      <w:r w:rsidRPr="00F715E7">
        <w:rPr>
          <w:sz w:val="26"/>
          <w:szCs w:val="26"/>
          <w:lang w:val="es-ES_tradnl"/>
        </w:rPr>
        <w:t xml:space="preserve">, de conformidad con los artículos 105, fracción II, inciso </w:t>
      </w:r>
      <w:r w:rsidR="00DF6BF6" w:rsidRPr="00F715E7">
        <w:rPr>
          <w:sz w:val="26"/>
          <w:szCs w:val="26"/>
          <w:lang w:val="es-ES_tradnl"/>
        </w:rPr>
        <w:t>f</w:t>
      </w:r>
      <w:r w:rsidRPr="00F715E7">
        <w:rPr>
          <w:sz w:val="26"/>
          <w:szCs w:val="26"/>
          <w:lang w:val="es-ES_tradnl"/>
        </w:rPr>
        <w:t>)</w:t>
      </w:r>
      <w:r w:rsidR="00532579" w:rsidRPr="00F715E7">
        <w:rPr>
          <w:sz w:val="26"/>
          <w:szCs w:val="26"/>
          <w:lang w:val="es-ES_tradnl"/>
        </w:rPr>
        <w:t>,</w:t>
      </w:r>
      <w:r w:rsidR="00C949A0" w:rsidRPr="00F715E7">
        <w:rPr>
          <w:sz w:val="26"/>
          <w:szCs w:val="26"/>
          <w:lang w:val="es-ES_tradnl"/>
        </w:rPr>
        <w:t xml:space="preserve"> de la Constitución </w:t>
      </w:r>
      <w:r w:rsidR="00105E7F" w:rsidRPr="00F715E7">
        <w:rPr>
          <w:sz w:val="26"/>
          <w:szCs w:val="26"/>
          <w:lang w:val="es-ES_tradnl"/>
        </w:rPr>
        <w:t>Política de los Estados Unidos Mexicanos</w:t>
      </w:r>
      <w:r w:rsidRPr="00F715E7">
        <w:rPr>
          <w:sz w:val="26"/>
          <w:szCs w:val="26"/>
          <w:lang w:val="es-ES_tradnl"/>
        </w:rPr>
        <w:t>,</w:t>
      </w:r>
      <w:r w:rsidR="00E158F8" w:rsidRPr="00F715E7">
        <w:rPr>
          <w:rStyle w:val="Refdenotaalpie"/>
          <w:sz w:val="26"/>
          <w:szCs w:val="26"/>
          <w:lang w:val="es-ES_tradnl"/>
        </w:rPr>
        <w:footnoteReference w:id="5"/>
      </w:r>
      <w:r w:rsidRPr="00F715E7">
        <w:rPr>
          <w:sz w:val="26"/>
          <w:szCs w:val="26"/>
          <w:lang w:val="es-ES_tradnl"/>
        </w:rPr>
        <w:t xml:space="preserve"> y 10, fracción I</w:t>
      </w:r>
      <w:r w:rsidR="00CF1DB9" w:rsidRPr="00F715E7">
        <w:rPr>
          <w:sz w:val="26"/>
          <w:szCs w:val="26"/>
          <w:lang w:val="es-ES_tradnl"/>
        </w:rPr>
        <w:t>,</w:t>
      </w:r>
      <w:r w:rsidRPr="00F715E7">
        <w:rPr>
          <w:sz w:val="26"/>
          <w:szCs w:val="26"/>
          <w:lang w:val="es-ES_tradnl"/>
        </w:rPr>
        <w:t xml:space="preserve"> de la Ley Orgánica del Poder Judicial de la Federación,</w:t>
      </w:r>
      <w:r w:rsidR="00E158F8" w:rsidRPr="00F715E7">
        <w:rPr>
          <w:rStyle w:val="Refdenotaalpie"/>
          <w:sz w:val="26"/>
          <w:szCs w:val="26"/>
          <w:lang w:val="es-ES_tradnl"/>
        </w:rPr>
        <w:footnoteReference w:id="6"/>
      </w:r>
      <w:r w:rsidRPr="00F715E7">
        <w:rPr>
          <w:sz w:val="26"/>
          <w:szCs w:val="26"/>
          <w:lang w:val="es-ES_tradnl"/>
        </w:rPr>
        <w:t xml:space="preserve"> </w:t>
      </w:r>
      <w:r w:rsidR="00975277" w:rsidRPr="00F715E7">
        <w:rPr>
          <w:sz w:val="26"/>
          <w:szCs w:val="26"/>
          <w:lang w:val="es-ES_tradnl"/>
        </w:rPr>
        <w:t>porque</w:t>
      </w:r>
      <w:r w:rsidRPr="00F715E7">
        <w:rPr>
          <w:sz w:val="26"/>
          <w:szCs w:val="26"/>
          <w:lang w:val="es-ES_tradnl"/>
        </w:rPr>
        <w:t xml:space="preserve"> </w:t>
      </w:r>
      <w:r w:rsidR="00DF6BF6" w:rsidRPr="00F715E7">
        <w:rPr>
          <w:sz w:val="26"/>
          <w:szCs w:val="26"/>
          <w:lang w:val="es-ES_tradnl"/>
        </w:rPr>
        <w:t xml:space="preserve">los partidos políticos accionantes plantean una posible contradicción entre la Constitución Federal y </w:t>
      </w:r>
      <w:r w:rsidR="00CF1DB9" w:rsidRPr="00F715E7">
        <w:rPr>
          <w:sz w:val="26"/>
          <w:szCs w:val="26"/>
          <w:lang w:val="es-ES_tradnl"/>
        </w:rPr>
        <w:t xml:space="preserve">el Decreto número 2 por el que se reformó el artículo 50 del </w:t>
      </w:r>
      <w:r w:rsidR="00716E41">
        <w:rPr>
          <w:sz w:val="26"/>
          <w:szCs w:val="26"/>
          <w:lang w:val="es-ES_tradnl"/>
        </w:rPr>
        <w:t>C</w:t>
      </w:r>
      <w:r w:rsidR="00CF1DB9" w:rsidRPr="00F715E7">
        <w:rPr>
          <w:sz w:val="26"/>
          <w:szCs w:val="26"/>
          <w:lang w:val="es-ES_tradnl"/>
        </w:rPr>
        <w:t xml:space="preserve">ódigo </w:t>
      </w:r>
      <w:r w:rsidR="00716E41">
        <w:rPr>
          <w:sz w:val="26"/>
          <w:szCs w:val="26"/>
          <w:lang w:val="es-ES_tradnl"/>
        </w:rPr>
        <w:t>E</w:t>
      </w:r>
      <w:r w:rsidR="00CF1DB9" w:rsidRPr="00F715E7">
        <w:rPr>
          <w:sz w:val="26"/>
          <w:szCs w:val="26"/>
          <w:lang w:val="es-ES_tradnl"/>
        </w:rPr>
        <w:t>lectoral del Estado de Veracruz.</w:t>
      </w:r>
    </w:p>
    <w:p w14:paraId="27CF198F" w14:textId="77777777" w:rsidR="00323656" w:rsidRPr="00F715E7" w:rsidRDefault="00323656" w:rsidP="00323656">
      <w:pPr>
        <w:pStyle w:val="Estilo1"/>
        <w:numPr>
          <w:ilvl w:val="0"/>
          <w:numId w:val="0"/>
        </w:numPr>
        <w:spacing w:before="0" w:after="0"/>
        <w:rPr>
          <w:sz w:val="26"/>
          <w:szCs w:val="26"/>
        </w:rPr>
      </w:pPr>
    </w:p>
    <w:p w14:paraId="12E0EDC1" w14:textId="5FDAC9D6" w:rsidR="00323656" w:rsidRPr="00F715E7" w:rsidRDefault="00323656" w:rsidP="00E06E72">
      <w:pPr>
        <w:pStyle w:val="Estilo1"/>
        <w:numPr>
          <w:ilvl w:val="0"/>
          <w:numId w:val="6"/>
        </w:numPr>
        <w:spacing w:before="0" w:after="0"/>
        <w:ind w:left="0"/>
        <w:rPr>
          <w:sz w:val="26"/>
          <w:szCs w:val="26"/>
        </w:rPr>
      </w:pPr>
      <w:r w:rsidRPr="00F715E7">
        <w:rPr>
          <w:sz w:val="26"/>
          <w:szCs w:val="26"/>
        </w:rPr>
        <w:t>Estas consideraciones son vinculantes al haberse aprobado por unanimidad de votos.</w:t>
      </w:r>
    </w:p>
    <w:p w14:paraId="2141EB4D" w14:textId="77777777" w:rsidR="004039EB" w:rsidRPr="00F715E7" w:rsidRDefault="004039EB" w:rsidP="00BD5D9E">
      <w:pPr>
        <w:pStyle w:val="Estilo1"/>
        <w:numPr>
          <w:ilvl w:val="0"/>
          <w:numId w:val="0"/>
        </w:numPr>
        <w:spacing w:before="0" w:after="0"/>
        <w:rPr>
          <w:sz w:val="26"/>
          <w:szCs w:val="26"/>
        </w:rPr>
      </w:pPr>
    </w:p>
    <w:p w14:paraId="5C480FB5" w14:textId="7CAB4B63" w:rsidR="000C63AB" w:rsidRPr="00F715E7" w:rsidRDefault="000C63AB" w:rsidP="00BD5D9E">
      <w:pPr>
        <w:pStyle w:val="Ttulo1"/>
        <w:spacing w:before="0" w:after="0"/>
        <w:ind w:right="1043"/>
        <w:rPr>
          <w:sz w:val="26"/>
          <w:szCs w:val="26"/>
        </w:rPr>
      </w:pPr>
      <w:bookmarkStart w:id="15" w:name="_Toc69888802"/>
      <w:r w:rsidRPr="00F715E7">
        <w:rPr>
          <w:sz w:val="26"/>
          <w:szCs w:val="26"/>
        </w:rPr>
        <w:t>PRECISIÓN DE LA NORMA IMPUGNADA</w:t>
      </w:r>
      <w:r w:rsidR="00F14AA9">
        <w:rPr>
          <w:sz w:val="26"/>
          <w:szCs w:val="26"/>
        </w:rPr>
        <w:t>.</w:t>
      </w:r>
    </w:p>
    <w:p w14:paraId="51314C5C" w14:textId="77777777" w:rsidR="00BD5D9E" w:rsidRPr="00F715E7" w:rsidRDefault="00BD5D9E" w:rsidP="001E1EF8">
      <w:pPr>
        <w:spacing w:before="0" w:after="0"/>
      </w:pPr>
    </w:p>
    <w:p w14:paraId="538F6983" w14:textId="149C5E5C" w:rsidR="000C63AB" w:rsidRPr="00F715E7" w:rsidRDefault="000C63AB" w:rsidP="00BD5D9E">
      <w:pPr>
        <w:pStyle w:val="Estilo1"/>
        <w:numPr>
          <w:ilvl w:val="0"/>
          <w:numId w:val="6"/>
        </w:numPr>
        <w:spacing w:before="0" w:after="0"/>
        <w:ind w:left="0"/>
        <w:rPr>
          <w:sz w:val="26"/>
          <w:szCs w:val="26"/>
          <w:lang w:val="es-ES_tradnl"/>
        </w:rPr>
      </w:pPr>
      <w:r w:rsidRPr="00F715E7">
        <w:rPr>
          <w:sz w:val="26"/>
          <w:szCs w:val="26"/>
          <w:lang w:val="es-ES_tradnl"/>
        </w:rPr>
        <w:t xml:space="preserve">Esta sentencia debe contener la fijación breve y precisa de la norma general que </w:t>
      </w:r>
      <w:r w:rsidR="00105E7F" w:rsidRPr="00F715E7">
        <w:rPr>
          <w:sz w:val="26"/>
          <w:szCs w:val="26"/>
          <w:lang w:val="es-ES_tradnl"/>
        </w:rPr>
        <w:t>es</w:t>
      </w:r>
      <w:r w:rsidRPr="00F715E7">
        <w:rPr>
          <w:sz w:val="26"/>
          <w:szCs w:val="26"/>
          <w:lang w:val="es-ES_tradnl"/>
        </w:rPr>
        <w:t xml:space="preserve"> materia de la presente acción de inconstitucionalidad</w:t>
      </w:r>
      <w:r w:rsidR="00BF3C0F" w:rsidRPr="00F715E7">
        <w:rPr>
          <w:sz w:val="26"/>
          <w:szCs w:val="26"/>
          <w:lang w:val="es-ES_tradnl"/>
        </w:rPr>
        <w:t xml:space="preserve"> y sus acumuladas</w:t>
      </w:r>
      <w:r w:rsidRPr="00F715E7">
        <w:rPr>
          <w:sz w:val="26"/>
          <w:szCs w:val="26"/>
          <w:lang w:val="es-ES_tradnl"/>
        </w:rPr>
        <w:t>, conforme al artículo 41, fracción I</w:t>
      </w:r>
      <w:r w:rsidR="00CF1DB9" w:rsidRPr="00F715E7">
        <w:rPr>
          <w:sz w:val="26"/>
          <w:szCs w:val="26"/>
          <w:lang w:val="es-ES_tradnl"/>
        </w:rPr>
        <w:t>,</w:t>
      </w:r>
      <w:r w:rsidRPr="00F715E7">
        <w:rPr>
          <w:sz w:val="26"/>
          <w:szCs w:val="26"/>
          <w:lang w:val="es-ES_tradnl"/>
        </w:rPr>
        <w:t xml:space="preserve"> de la Ley Reglamentaria de las Fracciones I y II del Artículo 105 de la Constitución Política de los Estados Unidos Mexicanos.</w:t>
      </w:r>
      <w:r w:rsidR="00E158F8" w:rsidRPr="00F715E7">
        <w:rPr>
          <w:rStyle w:val="Refdenotaalpie"/>
          <w:sz w:val="26"/>
          <w:szCs w:val="26"/>
          <w:lang w:val="es-ES_tradnl"/>
        </w:rPr>
        <w:t xml:space="preserve"> </w:t>
      </w:r>
      <w:r w:rsidR="00E158F8" w:rsidRPr="00F715E7">
        <w:rPr>
          <w:rStyle w:val="Refdenotaalpie"/>
          <w:sz w:val="26"/>
          <w:szCs w:val="26"/>
          <w:lang w:val="es-ES_tradnl"/>
        </w:rPr>
        <w:footnoteReference w:id="7"/>
      </w:r>
    </w:p>
    <w:p w14:paraId="4DDCADB0" w14:textId="77777777" w:rsidR="00BD5D9E" w:rsidRPr="00F715E7" w:rsidRDefault="00BD5D9E" w:rsidP="001E1EF8">
      <w:pPr>
        <w:pStyle w:val="Estilo1"/>
        <w:numPr>
          <w:ilvl w:val="0"/>
          <w:numId w:val="0"/>
        </w:numPr>
        <w:spacing w:before="0" w:after="0"/>
        <w:rPr>
          <w:sz w:val="26"/>
          <w:szCs w:val="26"/>
          <w:lang w:val="es-ES_tradnl"/>
        </w:rPr>
      </w:pPr>
    </w:p>
    <w:p w14:paraId="729AD8D6" w14:textId="1185D3DE" w:rsidR="00C17592" w:rsidRPr="00F715E7" w:rsidRDefault="000C63AB" w:rsidP="0098787A">
      <w:pPr>
        <w:pStyle w:val="Estilo1"/>
        <w:numPr>
          <w:ilvl w:val="0"/>
          <w:numId w:val="6"/>
        </w:numPr>
        <w:spacing w:before="0" w:after="0"/>
        <w:ind w:left="0"/>
        <w:rPr>
          <w:bCs/>
          <w:sz w:val="26"/>
          <w:szCs w:val="26"/>
          <w:lang w:val="es-ES_tradnl"/>
        </w:rPr>
      </w:pPr>
      <w:r w:rsidRPr="00F715E7">
        <w:rPr>
          <w:rFonts w:eastAsia="Arial"/>
          <w:sz w:val="26"/>
          <w:szCs w:val="26"/>
          <w:lang w:bidi="es-MX"/>
        </w:rPr>
        <w:t xml:space="preserve">Así, de una revisión de los conceptos de invalidez de los </w:t>
      </w:r>
      <w:r w:rsidR="00894963" w:rsidRPr="00F715E7">
        <w:rPr>
          <w:rFonts w:eastAsia="Arial"/>
          <w:sz w:val="26"/>
          <w:szCs w:val="26"/>
          <w:lang w:bidi="es-MX"/>
        </w:rPr>
        <w:t>partidos políticos promoventes</w:t>
      </w:r>
      <w:r w:rsidRPr="00F715E7">
        <w:rPr>
          <w:rFonts w:eastAsia="Arial"/>
          <w:sz w:val="26"/>
          <w:szCs w:val="26"/>
          <w:lang w:bidi="es-MX"/>
        </w:rPr>
        <w:t xml:space="preserve"> se </w:t>
      </w:r>
      <w:r w:rsidR="006645B8" w:rsidRPr="00F715E7">
        <w:rPr>
          <w:rFonts w:eastAsia="Arial"/>
          <w:sz w:val="26"/>
          <w:szCs w:val="26"/>
          <w:lang w:bidi="es-MX"/>
        </w:rPr>
        <w:t>advierte que</w:t>
      </w:r>
      <w:r w:rsidR="00547D48" w:rsidRPr="00F715E7">
        <w:rPr>
          <w:rFonts w:eastAsia="Arial"/>
          <w:sz w:val="26"/>
          <w:szCs w:val="26"/>
          <w:lang w:bidi="es-MX"/>
        </w:rPr>
        <w:t xml:space="preserve"> </w:t>
      </w:r>
      <w:r w:rsidR="00E322F6" w:rsidRPr="00F715E7">
        <w:rPr>
          <w:rFonts w:eastAsia="Arial"/>
          <w:sz w:val="26"/>
          <w:szCs w:val="26"/>
          <w:lang w:bidi="es-MX"/>
        </w:rPr>
        <w:t>lo aquí impugnado es</w:t>
      </w:r>
      <w:r w:rsidR="00296C26" w:rsidRPr="00F715E7">
        <w:rPr>
          <w:rFonts w:eastAsia="Arial"/>
          <w:sz w:val="26"/>
          <w:szCs w:val="26"/>
          <w:lang w:bidi="es-MX"/>
        </w:rPr>
        <w:t xml:space="preserve"> </w:t>
      </w:r>
      <w:r w:rsidR="00296C26" w:rsidRPr="00F715E7">
        <w:rPr>
          <w:sz w:val="26"/>
          <w:szCs w:val="26"/>
        </w:rPr>
        <w:t xml:space="preserve">el Decreto número 2, publicado el veintiocho de diciembre de dos mil veintiuno en la Gaceta Oficial del Estado de Veracruz de Ignacio de la Llave, mediante el cual se reformó </w:t>
      </w:r>
      <w:r w:rsidR="00E322F6" w:rsidRPr="00F715E7">
        <w:rPr>
          <w:sz w:val="26"/>
          <w:szCs w:val="26"/>
        </w:rPr>
        <w:t>el artículo 50, apartado A, fracción I, del Código Electoral para el Estado de Veracruz</w:t>
      </w:r>
      <w:r w:rsidR="00CC4519" w:rsidRPr="00F715E7">
        <w:rPr>
          <w:sz w:val="26"/>
          <w:szCs w:val="26"/>
        </w:rPr>
        <w:t>.</w:t>
      </w:r>
      <w:r w:rsidR="00E322F6" w:rsidRPr="00F715E7">
        <w:rPr>
          <w:sz w:val="26"/>
          <w:szCs w:val="26"/>
        </w:rPr>
        <w:t xml:space="preserve"> </w:t>
      </w:r>
      <w:r w:rsidR="00CC4519" w:rsidRPr="00F715E7">
        <w:rPr>
          <w:sz w:val="26"/>
          <w:szCs w:val="26"/>
        </w:rPr>
        <w:t xml:space="preserve">A </w:t>
      </w:r>
      <w:r w:rsidR="00A9390E" w:rsidRPr="00F715E7">
        <w:rPr>
          <w:sz w:val="26"/>
          <w:szCs w:val="26"/>
        </w:rPr>
        <w:t>efecto de contextualizar</w:t>
      </w:r>
      <w:r w:rsidR="00F052D6" w:rsidRPr="00F715E7">
        <w:rPr>
          <w:sz w:val="26"/>
          <w:szCs w:val="26"/>
        </w:rPr>
        <w:t xml:space="preserve"> el precepto impugnado</w:t>
      </w:r>
      <w:r w:rsidR="00A9390E" w:rsidRPr="00F715E7">
        <w:rPr>
          <w:sz w:val="26"/>
          <w:szCs w:val="26"/>
        </w:rPr>
        <w:t>, véase la tabla siguiente:</w:t>
      </w:r>
    </w:p>
    <w:p w14:paraId="561DAC03" w14:textId="77777777" w:rsidR="00BD5D9E" w:rsidRPr="00F715E7" w:rsidRDefault="00BD5D9E" w:rsidP="001E1EF8">
      <w:pPr>
        <w:pStyle w:val="Estilo1"/>
        <w:numPr>
          <w:ilvl w:val="0"/>
          <w:numId w:val="0"/>
        </w:numPr>
        <w:spacing w:before="0" w:after="0"/>
        <w:rPr>
          <w:bCs/>
          <w:sz w:val="26"/>
          <w:szCs w:val="26"/>
          <w:lang w:val="es-ES_tradnl"/>
        </w:rPr>
      </w:pPr>
    </w:p>
    <w:tbl>
      <w:tblPr>
        <w:tblW w:w="0" w:type="auto"/>
        <w:tblCellMar>
          <w:left w:w="0" w:type="dxa"/>
          <w:right w:w="0" w:type="dxa"/>
        </w:tblCellMar>
        <w:tblLook w:val="04A0" w:firstRow="1" w:lastRow="0" w:firstColumn="1" w:lastColumn="0" w:noHBand="0" w:noVBand="1"/>
      </w:tblPr>
      <w:tblGrid>
        <w:gridCol w:w="4410"/>
        <w:gridCol w:w="4410"/>
      </w:tblGrid>
      <w:tr w:rsidR="00563E60" w:rsidRPr="00F715E7" w14:paraId="1C8B9F68" w14:textId="77777777" w:rsidTr="00563E60">
        <w:tc>
          <w:tcPr>
            <w:tcW w:w="8828"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026FF80C" w14:textId="77777777" w:rsidR="00563E60" w:rsidRPr="00F715E7" w:rsidRDefault="00563E60" w:rsidP="001E1EF8">
            <w:pPr>
              <w:spacing w:before="0" w:after="0" w:line="240" w:lineRule="auto"/>
              <w:jc w:val="center"/>
              <w:rPr>
                <w:b/>
                <w:bCs/>
                <w:sz w:val="20"/>
                <w:szCs w:val="20"/>
                <w:lang w:eastAsia="en-US"/>
              </w:rPr>
            </w:pPr>
            <w:r w:rsidRPr="00F715E7">
              <w:rPr>
                <w:b/>
                <w:bCs/>
                <w:color w:val="000000"/>
                <w:sz w:val="20"/>
                <w:szCs w:val="20"/>
              </w:rPr>
              <w:t>Código Electoral para el Estado de Veracruz de Ignacio de la Llave</w:t>
            </w:r>
          </w:p>
        </w:tc>
      </w:tr>
      <w:tr w:rsidR="00563E60" w:rsidRPr="00F715E7" w14:paraId="71767F8E" w14:textId="77777777" w:rsidTr="00563E60">
        <w:tc>
          <w:tcPr>
            <w:tcW w:w="441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6F115B" w14:textId="44C008D4" w:rsidR="00563E60" w:rsidRPr="00F715E7" w:rsidRDefault="00563E60" w:rsidP="001E1EF8">
            <w:pPr>
              <w:spacing w:before="0" w:after="0" w:line="240" w:lineRule="auto"/>
              <w:jc w:val="center"/>
              <w:rPr>
                <w:b/>
                <w:bCs/>
                <w:color w:val="000000"/>
                <w:sz w:val="20"/>
                <w:szCs w:val="20"/>
              </w:rPr>
            </w:pPr>
            <w:r w:rsidRPr="00F715E7">
              <w:rPr>
                <w:b/>
                <w:bCs/>
                <w:color w:val="000000"/>
                <w:sz w:val="20"/>
                <w:szCs w:val="20"/>
              </w:rPr>
              <w:t>Normatividad anterior a la reforma impugnada</w:t>
            </w:r>
            <w:r w:rsidR="004256D6" w:rsidRPr="00F715E7">
              <w:rPr>
                <w:rStyle w:val="Refdenotaalpie"/>
                <w:b/>
                <w:bCs/>
                <w:color w:val="000000"/>
                <w:sz w:val="20"/>
                <w:szCs w:val="20"/>
              </w:rPr>
              <w:footnoteReference w:id="8"/>
            </w:r>
          </w:p>
        </w:tc>
        <w:tc>
          <w:tcPr>
            <w:tcW w:w="441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F99FDB" w14:textId="161F95B1" w:rsidR="00563E60" w:rsidRPr="00F715E7" w:rsidRDefault="00563E60" w:rsidP="001E1EF8">
            <w:pPr>
              <w:spacing w:before="0" w:after="0" w:line="240" w:lineRule="auto"/>
              <w:jc w:val="center"/>
              <w:rPr>
                <w:b/>
                <w:bCs/>
                <w:sz w:val="20"/>
                <w:szCs w:val="20"/>
              </w:rPr>
            </w:pPr>
            <w:r w:rsidRPr="00F715E7">
              <w:rPr>
                <w:b/>
                <w:bCs/>
                <w:color w:val="000000"/>
                <w:sz w:val="20"/>
                <w:szCs w:val="20"/>
              </w:rPr>
              <w:t>Norma posterior a la reforma y que aquí se impugna</w:t>
            </w:r>
          </w:p>
        </w:tc>
      </w:tr>
      <w:tr w:rsidR="00563E60" w:rsidRPr="00F715E7" w14:paraId="3E75456C" w14:textId="77777777" w:rsidTr="00563E60">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08531C" w14:textId="77777777" w:rsidR="00563E60" w:rsidRPr="00F715E7" w:rsidRDefault="00563E60" w:rsidP="001E1EF8">
            <w:pPr>
              <w:spacing w:before="0" w:after="0" w:line="240" w:lineRule="auto"/>
              <w:rPr>
                <w:b/>
                <w:bCs/>
                <w:sz w:val="20"/>
                <w:szCs w:val="20"/>
              </w:rPr>
            </w:pPr>
          </w:p>
          <w:p w14:paraId="5C6941FF" w14:textId="77777777" w:rsidR="00563E60" w:rsidRPr="00F715E7" w:rsidRDefault="00563E60" w:rsidP="004256D6">
            <w:pPr>
              <w:pStyle w:val="Estilo"/>
              <w:rPr>
                <w:rFonts w:ascii="Arial" w:hAnsi="Arial" w:cs="Arial"/>
                <w:sz w:val="20"/>
                <w:szCs w:val="20"/>
              </w:rPr>
            </w:pPr>
            <w:r w:rsidRPr="00F715E7">
              <w:rPr>
                <w:rFonts w:ascii="Arial" w:hAnsi="Arial" w:cs="Arial"/>
                <w:b/>
                <w:bCs/>
                <w:sz w:val="20"/>
                <w:szCs w:val="20"/>
              </w:rPr>
              <w:t>Artículo 50.</w:t>
            </w:r>
            <w:r w:rsidRPr="00F715E7">
              <w:rPr>
                <w:rFonts w:ascii="Arial" w:hAnsi="Arial" w:cs="Arial"/>
                <w:sz w:val="20"/>
                <w:szCs w:val="20"/>
              </w:rPr>
              <w:t xml:space="preserve"> Los partidos políticos tendrán derecho al financiamiento público de sus actividades, estructura, sueldos y salarios, independientemente de las demás prerrogativas otorgadas en esta Ley, conforme a las disposiciones siguientes:</w:t>
            </w:r>
          </w:p>
          <w:p w14:paraId="4D15B1E5" w14:textId="77777777" w:rsidR="00563E60" w:rsidRPr="00F715E7" w:rsidRDefault="00563E60" w:rsidP="004256D6">
            <w:pPr>
              <w:pStyle w:val="Estilo"/>
              <w:rPr>
                <w:rFonts w:ascii="Arial" w:hAnsi="Arial" w:cs="Arial"/>
                <w:sz w:val="20"/>
                <w:szCs w:val="20"/>
              </w:rPr>
            </w:pPr>
          </w:p>
          <w:p w14:paraId="54568B5C" w14:textId="77777777" w:rsidR="00563E60" w:rsidRPr="00F715E7" w:rsidRDefault="00563E60" w:rsidP="004256D6">
            <w:pPr>
              <w:pStyle w:val="Estilo"/>
              <w:rPr>
                <w:rFonts w:ascii="Arial" w:hAnsi="Arial" w:cs="Arial"/>
                <w:sz w:val="20"/>
                <w:szCs w:val="20"/>
              </w:rPr>
            </w:pPr>
            <w:r w:rsidRPr="00F715E7">
              <w:rPr>
                <w:rFonts w:ascii="Arial" w:hAnsi="Arial" w:cs="Arial"/>
                <w:b/>
                <w:bCs/>
                <w:sz w:val="20"/>
                <w:szCs w:val="20"/>
              </w:rPr>
              <w:t>A.</w:t>
            </w:r>
            <w:r w:rsidRPr="00F715E7">
              <w:rPr>
                <w:rFonts w:ascii="Arial" w:hAnsi="Arial" w:cs="Arial"/>
                <w:sz w:val="20"/>
                <w:szCs w:val="20"/>
              </w:rPr>
              <w:t xml:space="preserve"> Para el sostenimiento de actividades ordinarias permanentes, el Consejo General del Instituto Electoral Veracruzano determinará </w:t>
            </w:r>
            <w:r w:rsidRPr="00F715E7">
              <w:rPr>
                <w:rFonts w:ascii="Arial" w:hAnsi="Arial" w:cs="Arial"/>
                <w:sz w:val="20"/>
                <w:szCs w:val="20"/>
              </w:rPr>
              <w:lastRenderedPageBreak/>
              <w:t>anualmente el monto total por distribuir entre los partidos políticos, conforme a lo siguiente:</w:t>
            </w:r>
          </w:p>
          <w:p w14:paraId="172D3B37" w14:textId="77777777" w:rsidR="00563E60" w:rsidRPr="00F715E7" w:rsidRDefault="00563E60" w:rsidP="004256D6">
            <w:pPr>
              <w:pStyle w:val="Estilo"/>
              <w:rPr>
                <w:rFonts w:ascii="Arial" w:hAnsi="Arial" w:cs="Arial"/>
                <w:sz w:val="20"/>
                <w:szCs w:val="20"/>
              </w:rPr>
            </w:pPr>
          </w:p>
          <w:p w14:paraId="3D456AF2" w14:textId="77777777" w:rsidR="00563E60" w:rsidRPr="00F715E7" w:rsidRDefault="00563E60" w:rsidP="004256D6">
            <w:pPr>
              <w:pStyle w:val="Estilo"/>
              <w:rPr>
                <w:rFonts w:ascii="Arial" w:hAnsi="Arial" w:cs="Arial"/>
                <w:sz w:val="20"/>
                <w:szCs w:val="20"/>
              </w:rPr>
            </w:pPr>
            <w:r w:rsidRPr="00F715E7">
              <w:rPr>
                <w:rFonts w:ascii="Arial" w:hAnsi="Arial" w:cs="Arial"/>
                <w:sz w:val="20"/>
                <w:szCs w:val="20"/>
              </w:rPr>
              <w:t>I. Multiplicará el número total de ciudadanos inscritos en el padrón electoral local, a la fecha de corte de julio de cada año, por el sesenta y cinco por ciento de la Unidad de Medida y Actualización vigente;</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B24A812" w14:textId="77777777" w:rsidR="00563E60" w:rsidRPr="00F715E7" w:rsidRDefault="00563E60" w:rsidP="001E1EF8">
            <w:pPr>
              <w:spacing w:before="0" w:after="0" w:line="240" w:lineRule="auto"/>
              <w:rPr>
                <w:b/>
                <w:bCs/>
                <w:sz w:val="20"/>
                <w:szCs w:val="20"/>
              </w:rPr>
            </w:pPr>
          </w:p>
          <w:p w14:paraId="3850926E" w14:textId="77777777" w:rsidR="00563E60" w:rsidRPr="00F715E7" w:rsidRDefault="00563E60" w:rsidP="004256D6">
            <w:pPr>
              <w:pStyle w:val="Estilo"/>
              <w:rPr>
                <w:rFonts w:ascii="Arial" w:hAnsi="Arial" w:cs="Arial"/>
                <w:sz w:val="20"/>
                <w:szCs w:val="20"/>
              </w:rPr>
            </w:pPr>
            <w:r w:rsidRPr="00F715E7">
              <w:rPr>
                <w:rFonts w:ascii="Arial" w:hAnsi="Arial" w:cs="Arial"/>
                <w:b/>
                <w:bCs/>
                <w:sz w:val="20"/>
                <w:szCs w:val="20"/>
              </w:rPr>
              <w:t>Artículo 50.</w:t>
            </w:r>
            <w:r w:rsidRPr="00F715E7">
              <w:rPr>
                <w:rFonts w:ascii="Arial" w:hAnsi="Arial" w:cs="Arial"/>
                <w:sz w:val="20"/>
                <w:szCs w:val="20"/>
              </w:rPr>
              <w:t xml:space="preserve"> Los partidos políticos tendrán derecho al financiamiento público de sus actividades, estructura, sueldos y salarios, independientemente de las demás prerrogativas otorgadas en esta Ley, conforme a las disposiciones siguientes:</w:t>
            </w:r>
          </w:p>
          <w:p w14:paraId="060E6247" w14:textId="77777777" w:rsidR="00563E60" w:rsidRPr="00F715E7" w:rsidRDefault="00563E60" w:rsidP="004256D6">
            <w:pPr>
              <w:pStyle w:val="Estilo"/>
              <w:rPr>
                <w:rFonts w:ascii="Arial" w:hAnsi="Arial" w:cs="Arial"/>
                <w:sz w:val="20"/>
                <w:szCs w:val="20"/>
              </w:rPr>
            </w:pPr>
          </w:p>
          <w:p w14:paraId="70DCE8E0" w14:textId="77777777" w:rsidR="00563E60" w:rsidRPr="00F715E7" w:rsidRDefault="00563E60" w:rsidP="004256D6">
            <w:pPr>
              <w:pStyle w:val="Estilo"/>
              <w:rPr>
                <w:rFonts w:ascii="Arial" w:hAnsi="Arial" w:cs="Arial"/>
                <w:sz w:val="20"/>
                <w:szCs w:val="20"/>
              </w:rPr>
            </w:pPr>
            <w:r w:rsidRPr="00F715E7">
              <w:rPr>
                <w:rFonts w:ascii="Arial" w:hAnsi="Arial" w:cs="Arial"/>
                <w:b/>
                <w:bCs/>
                <w:sz w:val="20"/>
                <w:szCs w:val="20"/>
              </w:rPr>
              <w:t>A.</w:t>
            </w:r>
            <w:r w:rsidRPr="00F715E7">
              <w:rPr>
                <w:rFonts w:ascii="Arial" w:hAnsi="Arial" w:cs="Arial"/>
                <w:sz w:val="20"/>
                <w:szCs w:val="20"/>
              </w:rPr>
              <w:t xml:space="preserve"> Para el sostenimiento de actividades ordinarias permanentes, el Consejo General del Instituto Electoral Veracruzano determinará </w:t>
            </w:r>
            <w:r w:rsidRPr="00F715E7">
              <w:rPr>
                <w:rFonts w:ascii="Arial" w:hAnsi="Arial" w:cs="Arial"/>
                <w:sz w:val="20"/>
                <w:szCs w:val="20"/>
              </w:rPr>
              <w:lastRenderedPageBreak/>
              <w:t>anualmente el monto total por distribuir entre los partidos políticos, conforme a lo siguiente:</w:t>
            </w:r>
          </w:p>
          <w:p w14:paraId="65DEC439" w14:textId="77777777" w:rsidR="00563E60" w:rsidRPr="00F715E7" w:rsidRDefault="00563E60" w:rsidP="004256D6">
            <w:pPr>
              <w:pStyle w:val="Estilo"/>
              <w:rPr>
                <w:rFonts w:ascii="Arial" w:hAnsi="Arial" w:cs="Arial"/>
                <w:sz w:val="20"/>
                <w:szCs w:val="20"/>
              </w:rPr>
            </w:pPr>
          </w:p>
          <w:p w14:paraId="26120991" w14:textId="77777777" w:rsidR="00563E60" w:rsidRPr="00F715E7" w:rsidRDefault="00563E60" w:rsidP="004256D6">
            <w:pPr>
              <w:pStyle w:val="Estilo"/>
              <w:rPr>
                <w:rFonts w:ascii="Arial" w:hAnsi="Arial" w:cs="Arial"/>
                <w:sz w:val="20"/>
                <w:szCs w:val="20"/>
              </w:rPr>
            </w:pPr>
            <w:r w:rsidRPr="00F715E7">
              <w:rPr>
                <w:rFonts w:ascii="Arial" w:hAnsi="Arial" w:cs="Arial"/>
                <w:b/>
                <w:bCs/>
                <w:sz w:val="20"/>
                <w:szCs w:val="20"/>
              </w:rPr>
              <w:t>I.</w:t>
            </w:r>
            <w:r w:rsidRPr="00F715E7">
              <w:rPr>
                <w:rFonts w:ascii="Arial" w:hAnsi="Arial" w:cs="Arial"/>
                <w:sz w:val="20"/>
                <w:szCs w:val="20"/>
              </w:rPr>
              <w:t xml:space="preserve"> El financiamiento público para el sostenimiento de las actividades ordinarias permanentes de los partidos políticos locales, se fijará anualmente en los términos establecidos por la Ley General de Partidos Políticos. </w:t>
            </w:r>
            <w:r w:rsidRPr="00F715E7">
              <w:rPr>
                <w:rFonts w:ascii="Arial" w:hAnsi="Arial" w:cs="Arial"/>
                <w:b/>
                <w:bCs/>
                <w:sz w:val="20"/>
                <w:szCs w:val="20"/>
              </w:rPr>
              <w:t>El financiamiento público para el sostenimiento de las actividades ordinarias permanentes de los partidos políticos nacionales se fijará anualmente, multiplicando el número total de ciudadanos inscritos en el padrón electoral del Estado a la fecha de corte de julio de cada año, por el treinta y dos punto cinco por ciento (32.5%) del valor diario de la Unidad de Medida y Actualización vigente […]</w:t>
            </w:r>
            <w:r w:rsidRPr="00F715E7">
              <w:rPr>
                <w:rFonts w:ascii="Arial" w:hAnsi="Arial" w:cs="Arial"/>
                <w:sz w:val="20"/>
                <w:szCs w:val="20"/>
              </w:rPr>
              <w:t>.</w:t>
            </w:r>
          </w:p>
          <w:p w14:paraId="76D758C4" w14:textId="50DC14AD" w:rsidR="00563E60" w:rsidRPr="00F715E7" w:rsidRDefault="00563E60" w:rsidP="004256D6">
            <w:pPr>
              <w:pStyle w:val="Estilo"/>
              <w:rPr>
                <w:rFonts w:ascii="Arial" w:hAnsi="Arial" w:cs="Arial"/>
                <w:sz w:val="20"/>
                <w:szCs w:val="20"/>
              </w:rPr>
            </w:pPr>
          </w:p>
        </w:tc>
      </w:tr>
      <w:tr w:rsidR="00563E60" w:rsidRPr="00F715E7" w14:paraId="5E158FA4" w14:textId="77777777" w:rsidTr="00563E60">
        <w:tc>
          <w:tcPr>
            <w:tcW w:w="8828" w:type="dxa"/>
            <w:gridSpan w:val="2"/>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3F52191" w14:textId="77777777" w:rsidR="00563E60" w:rsidRPr="00F715E7" w:rsidRDefault="00563E60" w:rsidP="001E1EF8">
            <w:pPr>
              <w:autoSpaceDE w:val="0"/>
              <w:autoSpaceDN w:val="0"/>
              <w:spacing w:before="0" w:after="0" w:line="240" w:lineRule="auto"/>
              <w:jc w:val="center"/>
              <w:rPr>
                <w:b/>
                <w:bCs/>
                <w:sz w:val="20"/>
                <w:szCs w:val="20"/>
              </w:rPr>
            </w:pPr>
            <w:r w:rsidRPr="00F715E7">
              <w:rPr>
                <w:b/>
                <w:bCs/>
                <w:color w:val="000000"/>
                <w:sz w:val="20"/>
                <w:szCs w:val="20"/>
              </w:rPr>
              <w:lastRenderedPageBreak/>
              <w:t xml:space="preserve">Transitorios </w:t>
            </w:r>
          </w:p>
        </w:tc>
      </w:tr>
      <w:tr w:rsidR="00563E60" w:rsidRPr="00F715E7" w14:paraId="72B865BE" w14:textId="77777777" w:rsidTr="00563E60">
        <w:trPr>
          <w:trHeight w:val="3958"/>
        </w:trPr>
        <w:tc>
          <w:tcPr>
            <w:tcW w:w="88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3469DB" w14:textId="77777777" w:rsidR="00563E60" w:rsidRPr="00F715E7" w:rsidRDefault="00563E60" w:rsidP="004256D6">
            <w:pPr>
              <w:pStyle w:val="Estilo"/>
              <w:rPr>
                <w:rFonts w:ascii="Arial" w:hAnsi="Arial" w:cs="Arial"/>
                <w:sz w:val="20"/>
                <w:szCs w:val="20"/>
              </w:rPr>
            </w:pPr>
            <w:r w:rsidRPr="00F715E7">
              <w:rPr>
                <w:rFonts w:ascii="Arial" w:hAnsi="Arial" w:cs="Arial"/>
                <w:sz w:val="20"/>
                <w:szCs w:val="20"/>
              </w:rPr>
              <w:t>PRIMERO. Publíquese en la Gaceta Oficial, Órgano del Gobierno del Estado de Veracruz de Ignacio de la Llave.</w:t>
            </w:r>
          </w:p>
          <w:p w14:paraId="01CDEA41" w14:textId="77777777" w:rsidR="00563E60" w:rsidRPr="00F715E7" w:rsidRDefault="00563E60" w:rsidP="004256D6">
            <w:pPr>
              <w:pStyle w:val="Estilo"/>
              <w:rPr>
                <w:rFonts w:ascii="Arial" w:hAnsi="Arial" w:cs="Arial"/>
                <w:sz w:val="20"/>
                <w:szCs w:val="20"/>
              </w:rPr>
            </w:pPr>
          </w:p>
          <w:p w14:paraId="53A05E1C" w14:textId="77777777" w:rsidR="00563E60" w:rsidRPr="00F715E7" w:rsidRDefault="00563E60" w:rsidP="004256D6">
            <w:pPr>
              <w:pStyle w:val="Estilo"/>
              <w:rPr>
                <w:rFonts w:ascii="Arial" w:hAnsi="Arial" w:cs="Arial"/>
                <w:sz w:val="20"/>
                <w:szCs w:val="20"/>
              </w:rPr>
            </w:pPr>
            <w:r w:rsidRPr="00F715E7">
              <w:rPr>
                <w:rFonts w:ascii="Arial" w:hAnsi="Arial" w:cs="Arial"/>
                <w:sz w:val="20"/>
                <w:szCs w:val="20"/>
              </w:rPr>
              <w:t>SEGUNDO. El presente Decreto entrará en vigor el día 1° de enero del año 2022, salvo en lo previsto en el Artículo Tercero Transitorio siguiente, que iniciará su vigencia el día de la publicación de este Decreto en la Gaceta Oficial, Órgano del Gobierno del Estado de Veracruz de Ignacio de la Llave.</w:t>
            </w:r>
          </w:p>
          <w:p w14:paraId="4A472F3E" w14:textId="77777777" w:rsidR="00563E60" w:rsidRPr="00F715E7" w:rsidRDefault="00563E60" w:rsidP="004256D6">
            <w:pPr>
              <w:pStyle w:val="Estilo"/>
              <w:rPr>
                <w:rFonts w:ascii="Arial" w:hAnsi="Arial" w:cs="Arial"/>
                <w:sz w:val="20"/>
                <w:szCs w:val="20"/>
              </w:rPr>
            </w:pPr>
          </w:p>
          <w:p w14:paraId="27EC2A8D" w14:textId="77777777" w:rsidR="00563E60" w:rsidRPr="00F715E7" w:rsidRDefault="00563E60" w:rsidP="004256D6">
            <w:pPr>
              <w:pStyle w:val="Estilo"/>
              <w:rPr>
                <w:rFonts w:ascii="Arial" w:hAnsi="Arial" w:cs="Arial"/>
                <w:sz w:val="20"/>
                <w:szCs w:val="20"/>
              </w:rPr>
            </w:pPr>
            <w:r w:rsidRPr="00F715E7">
              <w:rPr>
                <w:rFonts w:ascii="Arial" w:hAnsi="Arial" w:cs="Arial"/>
                <w:sz w:val="20"/>
                <w:szCs w:val="20"/>
              </w:rPr>
              <w:t>TERCERO. Al efecto, la Comisión Permanente de Hacienda del Estado del Congreso del Estado deberá prever en el dictamen con proyecto de Decreto de Presupuesto de Egresos del Gobierno del Estado de Veracruz de Ignacio de la Llave para el Ejercicio Fiscal 2022 y, en su caso, el Pleno del Congreso del Estado, los ajustes presupuestales pertinentes, a fin de materializar las disposiciones del presente Decreto. Igualmente, se instruye a la Secretaría de Finanzas y Planeación del Gobierno del Estado a efectuar o implementar los ajustes necesarios para el debido cumplimiento de este Decreto.</w:t>
            </w:r>
          </w:p>
          <w:p w14:paraId="2A293293" w14:textId="77777777" w:rsidR="00563E60" w:rsidRPr="00F715E7" w:rsidRDefault="00563E60" w:rsidP="004256D6">
            <w:pPr>
              <w:pStyle w:val="Estilo"/>
              <w:rPr>
                <w:rFonts w:ascii="Arial" w:hAnsi="Arial" w:cs="Arial"/>
                <w:sz w:val="20"/>
                <w:szCs w:val="20"/>
              </w:rPr>
            </w:pPr>
          </w:p>
          <w:p w14:paraId="0985F298" w14:textId="77777777" w:rsidR="00563E60" w:rsidRPr="00F715E7" w:rsidRDefault="00563E60" w:rsidP="004256D6">
            <w:pPr>
              <w:pStyle w:val="Estilo"/>
              <w:rPr>
                <w:rFonts w:ascii="Arial" w:hAnsi="Arial" w:cs="Arial"/>
                <w:sz w:val="20"/>
                <w:szCs w:val="20"/>
              </w:rPr>
            </w:pPr>
            <w:r w:rsidRPr="00F715E7">
              <w:rPr>
                <w:rFonts w:ascii="Arial" w:hAnsi="Arial" w:cs="Arial"/>
                <w:sz w:val="20"/>
                <w:szCs w:val="20"/>
              </w:rPr>
              <w:t>CUARTO. Se derogan todas las disposiciones de igual o menor jerarquía que se opongan al presente Decreto.</w:t>
            </w:r>
          </w:p>
        </w:tc>
      </w:tr>
    </w:tbl>
    <w:p w14:paraId="1AC3C569" w14:textId="77777777" w:rsidR="00E06E72" w:rsidRPr="00F715E7" w:rsidRDefault="00E06E72" w:rsidP="00E06E72">
      <w:pPr>
        <w:pStyle w:val="Estilo1"/>
        <w:numPr>
          <w:ilvl w:val="0"/>
          <w:numId w:val="0"/>
        </w:numPr>
        <w:spacing w:before="0" w:after="0"/>
        <w:rPr>
          <w:sz w:val="26"/>
          <w:szCs w:val="26"/>
        </w:rPr>
      </w:pPr>
    </w:p>
    <w:p w14:paraId="63790DCE" w14:textId="77777777" w:rsidR="00E06E72" w:rsidRPr="00F715E7" w:rsidRDefault="00E06E72" w:rsidP="00E06E72">
      <w:pPr>
        <w:pStyle w:val="Estilo1"/>
        <w:numPr>
          <w:ilvl w:val="0"/>
          <w:numId w:val="6"/>
        </w:numPr>
        <w:spacing w:before="0" w:after="0"/>
        <w:ind w:left="0"/>
        <w:rPr>
          <w:sz w:val="26"/>
          <w:szCs w:val="26"/>
        </w:rPr>
      </w:pPr>
      <w:r w:rsidRPr="00F715E7">
        <w:rPr>
          <w:sz w:val="26"/>
          <w:szCs w:val="26"/>
        </w:rPr>
        <w:t>Estas consideraciones son vinculantes al haberse aprobado por unanimidad de votos.</w:t>
      </w:r>
    </w:p>
    <w:p w14:paraId="41F2D3E0" w14:textId="77777777" w:rsidR="00E06E72" w:rsidRPr="00F715E7" w:rsidRDefault="00E06E72" w:rsidP="0098787A">
      <w:pPr>
        <w:pStyle w:val="Estilo1"/>
        <w:numPr>
          <w:ilvl w:val="0"/>
          <w:numId w:val="0"/>
        </w:numPr>
        <w:spacing w:before="0" w:after="0"/>
        <w:rPr>
          <w:sz w:val="26"/>
          <w:szCs w:val="26"/>
        </w:rPr>
      </w:pPr>
    </w:p>
    <w:p w14:paraId="1AF43184" w14:textId="527804D5" w:rsidR="00D4503C" w:rsidRPr="00F715E7" w:rsidRDefault="00D4503C" w:rsidP="001E1EF8">
      <w:pPr>
        <w:pStyle w:val="Ttulo1"/>
        <w:spacing w:before="0" w:after="0"/>
        <w:ind w:right="1894"/>
        <w:rPr>
          <w:sz w:val="26"/>
          <w:szCs w:val="26"/>
        </w:rPr>
      </w:pPr>
      <w:r w:rsidRPr="00F715E7">
        <w:rPr>
          <w:sz w:val="26"/>
          <w:szCs w:val="26"/>
        </w:rPr>
        <w:t>OPORTUNIDAD</w:t>
      </w:r>
      <w:bookmarkEnd w:id="15"/>
      <w:r w:rsidR="00F14AA9">
        <w:rPr>
          <w:sz w:val="26"/>
          <w:szCs w:val="26"/>
        </w:rPr>
        <w:t>.</w:t>
      </w:r>
    </w:p>
    <w:p w14:paraId="6A8F185B" w14:textId="77777777" w:rsidR="004256D6" w:rsidRPr="00F715E7" w:rsidRDefault="004256D6" w:rsidP="001E1EF8">
      <w:pPr>
        <w:pStyle w:val="Estilo1"/>
        <w:numPr>
          <w:ilvl w:val="0"/>
          <w:numId w:val="0"/>
        </w:numPr>
        <w:spacing w:before="0" w:after="0"/>
        <w:rPr>
          <w:sz w:val="24"/>
          <w:szCs w:val="24"/>
          <w:lang w:val="es-ES"/>
        </w:rPr>
      </w:pPr>
    </w:p>
    <w:p w14:paraId="251C5086" w14:textId="51F4E311" w:rsidR="004C7ECB" w:rsidRPr="00F715E7" w:rsidRDefault="009F72C3" w:rsidP="0098787A">
      <w:pPr>
        <w:pStyle w:val="Estilo1"/>
        <w:numPr>
          <w:ilvl w:val="0"/>
          <w:numId w:val="6"/>
        </w:numPr>
        <w:spacing w:before="0" w:after="0"/>
        <w:ind w:left="0"/>
        <w:rPr>
          <w:sz w:val="26"/>
          <w:szCs w:val="26"/>
          <w:lang w:val="es-ES"/>
        </w:rPr>
      </w:pPr>
      <w:r w:rsidRPr="00F715E7">
        <w:rPr>
          <w:sz w:val="26"/>
          <w:szCs w:val="26"/>
          <w:lang w:val="es-ES"/>
        </w:rPr>
        <w:t>El</w:t>
      </w:r>
      <w:r w:rsidR="002B06B5" w:rsidRPr="00F715E7">
        <w:rPr>
          <w:sz w:val="26"/>
          <w:szCs w:val="26"/>
          <w:lang w:val="es-ES"/>
        </w:rPr>
        <w:t xml:space="preserve"> plazo para promover </w:t>
      </w:r>
      <w:r w:rsidR="006F02A3" w:rsidRPr="00F715E7">
        <w:rPr>
          <w:sz w:val="26"/>
          <w:szCs w:val="26"/>
          <w:lang w:val="es-ES"/>
        </w:rPr>
        <w:t>una</w:t>
      </w:r>
      <w:r w:rsidR="002B06B5" w:rsidRPr="00F715E7">
        <w:rPr>
          <w:sz w:val="26"/>
          <w:szCs w:val="26"/>
          <w:lang w:val="es-ES"/>
        </w:rPr>
        <w:t xml:space="preserve"> acción de inconstitucionalidad es de treinta días naturales y </w:t>
      </w:r>
      <w:r w:rsidR="00CE5DE9" w:rsidRPr="00F715E7">
        <w:rPr>
          <w:sz w:val="26"/>
          <w:szCs w:val="26"/>
          <w:lang w:val="es-ES"/>
        </w:rPr>
        <w:t>el</w:t>
      </w:r>
      <w:r w:rsidR="002B06B5" w:rsidRPr="00F715E7">
        <w:rPr>
          <w:sz w:val="26"/>
          <w:szCs w:val="26"/>
          <w:lang w:val="es-ES"/>
        </w:rPr>
        <w:t xml:space="preserve"> cómputo </w:t>
      </w:r>
      <w:r w:rsidR="00DF22CA" w:rsidRPr="00F715E7">
        <w:rPr>
          <w:sz w:val="26"/>
          <w:szCs w:val="26"/>
          <w:lang w:val="es-ES"/>
        </w:rPr>
        <w:t>inicia</w:t>
      </w:r>
      <w:r w:rsidR="002B06B5" w:rsidRPr="00F715E7">
        <w:rPr>
          <w:sz w:val="26"/>
          <w:szCs w:val="26"/>
          <w:lang w:val="es-ES"/>
        </w:rPr>
        <w:t xml:space="preserve"> a partir del día siguiente a la fecha en que la norma general sea publicada en el medio oficial</w:t>
      </w:r>
      <w:r w:rsidR="00DF22CA" w:rsidRPr="00F715E7">
        <w:rPr>
          <w:sz w:val="26"/>
          <w:szCs w:val="26"/>
          <w:lang w:val="es-ES"/>
        </w:rPr>
        <w:t xml:space="preserve">, </w:t>
      </w:r>
      <w:r w:rsidR="009E6860" w:rsidRPr="00F715E7">
        <w:rPr>
          <w:b/>
          <w:bCs/>
          <w:sz w:val="26"/>
          <w:szCs w:val="26"/>
          <w:lang w:val="es-ES"/>
        </w:rPr>
        <w:t>con la precisión</w:t>
      </w:r>
      <w:r w:rsidR="00903983" w:rsidRPr="00F715E7">
        <w:rPr>
          <w:b/>
          <w:bCs/>
          <w:sz w:val="26"/>
          <w:szCs w:val="26"/>
          <w:lang w:val="es-ES"/>
        </w:rPr>
        <w:t xml:space="preserve"> de que</w:t>
      </w:r>
      <w:r w:rsidR="00DF22CA" w:rsidRPr="00F715E7">
        <w:rPr>
          <w:b/>
          <w:bCs/>
          <w:sz w:val="26"/>
          <w:szCs w:val="26"/>
          <w:lang w:val="es-ES"/>
        </w:rPr>
        <w:t xml:space="preserve"> </w:t>
      </w:r>
      <w:r w:rsidR="00DF22CA" w:rsidRPr="00F715E7">
        <w:rPr>
          <w:b/>
          <w:bCs/>
          <w:sz w:val="26"/>
          <w:szCs w:val="26"/>
          <w:lang w:val="es-ES"/>
        </w:rPr>
        <w:lastRenderedPageBreak/>
        <w:t xml:space="preserve">en materia electoral todos los días </w:t>
      </w:r>
      <w:r w:rsidR="00913DE7" w:rsidRPr="00F715E7">
        <w:rPr>
          <w:b/>
          <w:bCs/>
          <w:sz w:val="26"/>
          <w:szCs w:val="26"/>
          <w:lang w:val="es-ES"/>
        </w:rPr>
        <w:t>se consideran</w:t>
      </w:r>
      <w:r w:rsidR="00DF22CA" w:rsidRPr="00F715E7">
        <w:rPr>
          <w:b/>
          <w:bCs/>
          <w:sz w:val="26"/>
          <w:szCs w:val="26"/>
          <w:lang w:val="es-ES"/>
        </w:rPr>
        <w:t xml:space="preserve"> hábiles</w:t>
      </w:r>
      <w:r w:rsidR="00903983" w:rsidRPr="00F715E7">
        <w:rPr>
          <w:sz w:val="26"/>
          <w:szCs w:val="26"/>
          <w:lang w:val="es-ES"/>
        </w:rPr>
        <w:t xml:space="preserve">, </w:t>
      </w:r>
      <w:r w:rsidR="00674A6F" w:rsidRPr="00F715E7">
        <w:rPr>
          <w:sz w:val="26"/>
          <w:szCs w:val="26"/>
          <w:lang w:val="es-ES"/>
        </w:rPr>
        <w:t>conforme</w:t>
      </w:r>
      <w:r w:rsidR="00DF22CA" w:rsidRPr="00F715E7">
        <w:rPr>
          <w:sz w:val="26"/>
          <w:szCs w:val="26"/>
          <w:lang w:val="es-ES"/>
        </w:rPr>
        <w:t xml:space="preserve"> al</w:t>
      </w:r>
      <w:r w:rsidR="00F564E9" w:rsidRPr="00F715E7">
        <w:rPr>
          <w:sz w:val="26"/>
          <w:szCs w:val="26"/>
          <w:lang w:val="es-ES"/>
        </w:rPr>
        <w:t xml:space="preserve"> artículo 60 de la Ley Reglamentaria de las Fracciones I y II del Artículo 105 de la Constitución </w:t>
      </w:r>
      <w:r w:rsidR="00A470A5" w:rsidRPr="00F715E7">
        <w:rPr>
          <w:sz w:val="26"/>
          <w:szCs w:val="26"/>
          <w:lang w:val="es-ES"/>
        </w:rPr>
        <w:t>Política de los Estados Unidos Mexicanos</w:t>
      </w:r>
      <w:r w:rsidR="00F564E9" w:rsidRPr="00F715E7">
        <w:rPr>
          <w:sz w:val="26"/>
          <w:szCs w:val="26"/>
          <w:lang w:val="es-ES"/>
        </w:rPr>
        <w:t>.</w:t>
      </w:r>
      <w:r w:rsidR="00E158F8" w:rsidRPr="00F715E7">
        <w:rPr>
          <w:sz w:val="26"/>
          <w:szCs w:val="26"/>
          <w:vertAlign w:val="superscript"/>
          <w:lang w:val="es-ES"/>
        </w:rPr>
        <w:t xml:space="preserve"> </w:t>
      </w:r>
      <w:r w:rsidR="00E158F8" w:rsidRPr="00F715E7">
        <w:rPr>
          <w:sz w:val="26"/>
          <w:szCs w:val="26"/>
          <w:vertAlign w:val="superscript"/>
          <w:lang w:val="es-ES"/>
        </w:rPr>
        <w:footnoteReference w:id="9"/>
      </w:r>
    </w:p>
    <w:p w14:paraId="3AB7F5D1" w14:textId="77777777" w:rsidR="004256D6" w:rsidRPr="00F715E7" w:rsidRDefault="004256D6" w:rsidP="001E1EF8">
      <w:pPr>
        <w:pStyle w:val="Estilo1"/>
        <w:numPr>
          <w:ilvl w:val="0"/>
          <w:numId w:val="0"/>
        </w:numPr>
        <w:spacing w:before="0" w:after="0"/>
        <w:rPr>
          <w:sz w:val="26"/>
          <w:szCs w:val="26"/>
          <w:lang w:val="es-ES"/>
        </w:rPr>
      </w:pPr>
    </w:p>
    <w:p w14:paraId="5B736911" w14:textId="23452D09" w:rsidR="00820A3C" w:rsidRPr="00F715E7" w:rsidRDefault="000721D1" w:rsidP="0098787A">
      <w:pPr>
        <w:pStyle w:val="Estilo1"/>
        <w:numPr>
          <w:ilvl w:val="0"/>
          <w:numId w:val="6"/>
        </w:numPr>
        <w:spacing w:before="0" w:after="0"/>
        <w:ind w:left="0"/>
        <w:rPr>
          <w:b/>
          <w:sz w:val="26"/>
          <w:szCs w:val="26"/>
          <w:lang w:val="es-ES_tradnl"/>
        </w:rPr>
      </w:pPr>
      <w:r w:rsidRPr="00F715E7">
        <w:rPr>
          <w:sz w:val="26"/>
          <w:szCs w:val="26"/>
          <w:lang w:val="es-ES"/>
        </w:rPr>
        <w:t>En este caso, el Decreto número 2 fue publicado el veintiocho de diciembre de dos mil veintiuno en el medio oficial local; así, el plazo para su impugnación transcurrió del veintinueve de diciembre de dos mil veintiuno al veintisiete de enero de dos mil veintidós.</w:t>
      </w:r>
      <w:r w:rsidRPr="00F715E7">
        <w:rPr>
          <w:b/>
          <w:sz w:val="26"/>
          <w:szCs w:val="26"/>
          <w:lang w:val="es-ES"/>
        </w:rPr>
        <w:t xml:space="preserve"> </w:t>
      </w:r>
      <w:r w:rsidRPr="00F715E7">
        <w:rPr>
          <w:sz w:val="26"/>
          <w:szCs w:val="26"/>
        </w:rPr>
        <w:t xml:space="preserve">En consecuencia, las acciones de inconstitucionalidad son oportunas </w:t>
      </w:r>
      <w:r w:rsidR="004256D6" w:rsidRPr="00F715E7">
        <w:rPr>
          <w:sz w:val="26"/>
          <w:szCs w:val="26"/>
        </w:rPr>
        <w:t>al haberse presentado antes del vencimiento del plazo.</w:t>
      </w:r>
    </w:p>
    <w:p w14:paraId="2DA620DB" w14:textId="77777777" w:rsidR="004256D6" w:rsidRPr="00F715E7" w:rsidRDefault="004256D6" w:rsidP="001E1EF8">
      <w:pPr>
        <w:pStyle w:val="Estilo1"/>
        <w:numPr>
          <w:ilvl w:val="0"/>
          <w:numId w:val="0"/>
        </w:numPr>
        <w:spacing w:before="0" w:after="0"/>
        <w:rPr>
          <w:b/>
          <w:sz w:val="26"/>
          <w:szCs w:val="26"/>
          <w:lang w:val="es-ES_tradnl"/>
        </w:rPr>
      </w:pPr>
    </w:p>
    <w:tbl>
      <w:tblPr>
        <w:tblStyle w:val="Tablaconcuadrcula"/>
        <w:tblW w:w="0" w:type="auto"/>
        <w:jc w:val="center"/>
        <w:tblLook w:val="04A0" w:firstRow="1" w:lastRow="0" w:firstColumn="1" w:lastColumn="0" w:noHBand="0" w:noVBand="1"/>
      </w:tblPr>
      <w:tblGrid>
        <w:gridCol w:w="4390"/>
        <w:gridCol w:w="4440"/>
      </w:tblGrid>
      <w:tr w:rsidR="00CF035E" w:rsidRPr="00F715E7" w14:paraId="43D1F2B3" w14:textId="77777777" w:rsidTr="00944404">
        <w:trPr>
          <w:trHeight w:val="20"/>
          <w:jc w:val="center"/>
        </w:trPr>
        <w:tc>
          <w:tcPr>
            <w:tcW w:w="4390" w:type="dxa"/>
            <w:shd w:val="clear" w:color="auto" w:fill="D9D9D9" w:themeFill="background1" w:themeFillShade="D9"/>
            <w:vAlign w:val="center"/>
          </w:tcPr>
          <w:p w14:paraId="4449CA32" w14:textId="77777777" w:rsidR="000721D1" w:rsidRPr="00F715E7" w:rsidRDefault="000721D1" w:rsidP="001E1EF8">
            <w:pPr>
              <w:pStyle w:val="Estilo1"/>
              <w:numPr>
                <w:ilvl w:val="0"/>
                <w:numId w:val="0"/>
              </w:numPr>
              <w:spacing w:before="0" w:after="0" w:line="240" w:lineRule="auto"/>
              <w:jc w:val="center"/>
              <w:rPr>
                <w:b/>
                <w:sz w:val="22"/>
                <w:szCs w:val="22"/>
                <w:lang w:val="es-ES_tradnl"/>
              </w:rPr>
            </w:pPr>
            <w:r w:rsidRPr="00F715E7">
              <w:rPr>
                <w:b/>
                <w:sz w:val="22"/>
                <w:szCs w:val="22"/>
                <w:lang w:val="es-ES_tradnl"/>
              </w:rPr>
              <w:t xml:space="preserve">Partido político </w:t>
            </w:r>
          </w:p>
        </w:tc>
        <w:tc>
          <w:tcPr>
            <w:tcW w:w="4440" w:type="dxa"/>
            <w:shd w:val="clear" w:color="auto" w:fill="D9D9D9" w:themeFill="background1" w:themeFillShade="D9"/>
            <w:vAlign w:val="center"/>
          </w:tcPr>
          <w:p w14:paraId="5DDEB4FB" w14:textId="77777777" w:rsidR="000721D1" w:rsidRPr="00F715E7" w:rsidRDefault="000721D1" w:rsidP="001E1EF8">
            <w:pPr>
              <w:pStyle w:val="Estilo1"/>
              <w:numPr>
                <w:ilvl w:val="0"/>
                <w:numId w:val="0"/>
              </w:numPr>
              <w:spacing w:before="0" w:after="0" w:line="240" w:lineRule="auto"/>
              <w:jc w:val="center"/>
              <w:rPr>
                <w:b/>
                <w:sz w:val="22"/>
                <w:szCs w:val="22"/>
                <w:lang w:val="es-ES_tradnl"/>
              </w:rPr>
            </w:pPr>
            <w:r w:rsidRPr="00F715E7">
              <w:rPr>
                <w:b/>
                <w:sz w:val="22"/>
                <w:szCs w:val="22"/>
                <w:lang w:val="es-ES_tradnl"/>
              </w:rPr>
              <w:t>Fecha de presentación</w:t>
            </w:r>
          </w:p>
        </w:tc>
      </w:tr>
      <w:tr w:rsidR="00CF035E" w:rsidRPr="00F715E7" w14:paraId="7C8832CA" w14:textId="77777777" w:rsidTr="00944404">
        <w:trPr>
          <w:trHeight w:val="457"/>
          <w:jc w:val="center"/>
        </w:trPr>
        <w:tc>
          <w:tcPr>
            <w:tcW w:w="4390" w:type="dxa"/>
            <w:vAlign w:val="center"/>
          </w:tcPr>
          <w:p w14:paraId="68589DFB" w14:textId="77777777"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Partido del Trabajo</w:t>
            </w:r>
          </w:p>
        </w:tc>
        <w:tc>
          <w:tcPr>
            <w:tcW w:w="4440" w:type="dxa"/>
            <w:vAlign w:val="center"/>
          </w:tcPr>
          <w:p w14:paraId="2AB1A809" w14:textId="360155CB"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Veinte de enero de dos mil veintidós</w:t>
            </w:r>
          </w:p>
        </w:tc>
      </w:tr>
      <w:tr w:rsidR="00CF035E" w:rsidRPr="00F715E7" w14:paraId="4D045C83" w14:textId="77777777" w:rsidTr="00944404">
        <w:trPr>
          <w:trHeight w:val="185"/>
          <w:jc w:val="center"/>
        </w:trPr>
        <w:tc>
          <w:tcPr>
            <w:tcW w:w="4390" w:type="dxa"/>
            <w:vAlign w:val="center"/>
          </w:tcPr>
          <w:p w14:paraId="10116134" w14:textId="6C450CE2"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Partido Verde Ecologista de México</w:t>
            </w:r>
          </w:p>
        </w:tc>
        <w:tc>
          <w:tcPr>
            <w:tcW w:w="4440" w:type="dxa"/>
            <w:vAlign w:val="center"/>
          </w:tcPr>
          <w:p w14:paraId="05CAB813" w14:textId="272539FF"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Veinticuatro de enero de dos mil veintidós</w:t>
            </w:r>
          </w:p>
        </w:tc>
      </w:tr>
      <w:tr w:rsidR="00CF035E" w:rsidRPr="00F715E7" w14:paraId="33551435" w14:textId="77777777" w:rsidTr="00944404">
        <w:trPr>
          <w:trHeight w:val="20"/>
          <w:jc w:val="center"/>
        </w:trPr>
        <w:tc>
          <w:tcPr>
            <w:tcW w:w="4390" w:type="dxa"/>
            <w:vAlign w:val="center"/>
          </w:tcPr>
          <w:p w14:paraId="3B5DDC7D" w14:textId="77777777"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Partido de la Revolución Democrática</w:t>
            </w:r>
          </w:p>
        </w:tc>
        <w:tc>
          <w:tcPr>
            <w:tcW w:w="4440" w:type="dxa"/>
            <w:vAlign w:val="center"/>
          </w:tcPr>
          <w:p w14:paraId="1AE08B84" w14:textId="77777777"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Veintiséis de enero de dos mil veintidós</w:t>
            </w:r>
          </w:p>
        </w:tc>
      </w:tr>
      <w:tr w:rsidR="00CF035E" w:rsidRPr="00F715E7" w14:paraId="39B1D580" w14:textId="77777777" w:rsidTr="00944404">
        <w:trPr>
          <w:trHeight w:val="20"/>
          <w:jc w:val="center"/>
        </w:trPr>
        <w:tc>
          <w:tcPr>
            <w:tcW w:w="4390" w:type="dxa"/>
            <w:vAlign w:val="center"/>
          </w:tcPr>
          <w:p w14:paraId="61F4F325" w14:textId="300C2686"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Partido Acción Nacional</w:t>
            </w:r>
          </w:p>
        </w:tc>
        <w:tc>
          <w:tcPr>
            <w:tcW w:w="4440" w:type="dxa"/>
            <w:vAlign w:val="center"/>
          </w:tcPr>
          <w:p w14:paraId="0D20ADA2" w14:textId="77777777"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Veintisiete de enero de dos mil veintidós</w:t>
            </w:r>
          </w:p>
        </w:tc>
      </w:tr>
      <w:tr w:rsidR="00E158F8" w:rsidRPr="00F715E7" w14:paraId="61A11245" w14:textId="77777777" w:rsidTr="00944404">
        <w:trPr>
          <w:trHeight w:val="20"/>
          <w:jc w:val="center"/>
        </w:trPr>
        <w:tc>
          <w:tcPr>
            <w:tcW w:w="4390" w:type="dxa"/>
            <w:vAlign w:val="center"/>
          </w:tcPr>
          <w:p w14:paraId="76586B6F" w14:textId="77777777"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Partido Revolucionario Institucional</w:t>
            </w:r>
          </w:p>
        </w:tc>
        <w:tc>
          <w:tcPr>
            <w:tcW w:w="4440" w:type="dxa"/>
            <w:vAlign w:val="center"/>
          </w:tcPr>
          <w:p w14:paraId="391E7CA8" w14:textId="77777777" w:rsidR="000721D1" w:rsidRPr="00F715E7" w:rsidRDefault="000721D1" w:rsidP="001E1EF8">
            <w:pPr>
              <w:pStyle w:val="Estilo1"/>
              <w:numPr>
                <w:ilvl w:val="0"/>
                <w:numId w:val="0"/>
              </w:numPr>
              <w:spacing w:before="0" w:after="0" w:line="240" w:lineRule="auto"/>
              <w:jc w:val="center"/>
              <w:rPr>
                <w:bCs/>
                <w:sz w:val="22"/>
                <w:szCs w:val="22"/>
                <w:lang w:val="es-ES_tradnl"/>
              </w:rPr>
            </w:pPr>
            <w:r w:rsidRPr="00F715E7">
              <w:rPr>
                <w:bCs/>
                <w:sz w:val="22"/>
                <w:szCs w:val="22"/>
                <w:lang w:val="es-ES_tradnl"/>
              </w:rPr>
              <w:t>Veintisiete de enero de dos mil veintidós</w:t>
            </w:r>
          </w:p>
        </w:tc>
      </w:tr>
    </w:tbl>
    <w:p w14:paraId="6A8540D2" w14:textId="77777777" w:rsidR="00E06E72" w:rsidRPr="00F715E7" w:rsidRDefault="00E06E72" w:rsidP="00E06E72">
      <w:pPr>
        <w:pStyle w:val="Estilo1"/>
        <w:numPr>
          <w:ilvl w:val="0"/>
          <w:numId w:val="0"/>
        </w:numPr>
        <w:spacing w:before="0" w:after="0"/>
        <w:rPr>
          <w:sz w:val="26"/>
          <w:szCs w:val="26"/>
        </w:rPr>
      </w:pPr>
      <w:bookmarkStart w:id="16" w:name="_Toc34914762"/>
      <w:bookmarkStart w:id="17" w:name="_Toc69888803"/>
    </w:p>
    <w:p w14:paraId="15149A26" w14:textId="77777777" w:rsidR="00E06E72" w:rsidRPr="00F715E7" w:rsidRDefault="00E06E72" w:rsidP="00E06E72">
      <w:pPr>
        <w:pStyle w:val="Estilo1"/>
        <w:numPr>
          <w:ilvl w:val="0"/>
          <w:numId w:val="6"/>
        </w:numPr>
        <w:spacing w:before="0" w:after="0"/>
        <w:ind w:left="0"/>
        <w:rPr>
          <w:sz w:val="26"/>
          <w:szCs w:val="26"/>
        </w:rPr>
      </w:pPr>
      <w:r w:rsidRPr="00F715E7">
        <w:rPr>
          <w:sz w:val="26"/>
          <w:szCs w:val="26"/>
        </w:rPr>
        <w:t>Estas consideraciones son vinculantes al haberse aprobado por unanimidad de votos.</w:t>
      </w:r>
    </w:p>
    <w:p w14:paraId="20916846" w14:textId="77777777" w:rsidR="00E06E72" w:rsidRPr="00F715E7" w:rsidRDefault="00E06E72" w:rsidP="00E06E72">
      <w:pPr>
        <w:rPr>
          <w:sz w:val="26"/>
          <w:szCs w:val="26"/>
        </w:rPr>
      </w:pPr>
    </w:p>
    <w:p w14:paraId="794B92A2" w14:textId="615E408F" w:rsidR="003321FB" w:rsidRPr="00F715E7" w:rsidRDefault="003321FB" w:rsidP="001E1EF8">
      <w:pPr>
        <w:pStyle w:val="Ttulo1"/>
        <w:spacing w:before="0" w:after="0"/>
        <w:ind w:right="1894"/>
        <w:rPr>
          <w:sz w:val="26"/>
          <w:szCs w:val="26"/>
        </w:rPr>
      </w:pPr>
      <w:r w:rsidRPr="00F715E7">
        <w:rPr>
          <w:sz w:val="26"/>
          <w:szCs w:val="26"/>
        </w:rPr>
        <w:t>LEGITIMACIÓN</w:t>
      </w:r>
      <w:bookmarkEnd w:id="16"/>
      <w:bookmarkEnd w:id="17"/>
      <w:r w:rsidR="00F14AA9">
        <w:rPr>
          <w:sz w:val="26"/>
          <w:szCs w:val="26"/>
        </w:rPr>
        <w:t>.</w:t>
      </w:r>
    </w:p>
    <w:p w14:paraId="1D2C2BD4" w14:textId="77777777" w:rsidR="004256D6" w:rsidRPr="00F715E7" w:rsidRDefault="004256D6" w:rsidP="001E1EF8">
      <w:pPr>
        <w:pStyle w:val="Estilo1"/>
        <w:numPr>
          <w:ilvl w:val="0"/>
          <w:numId w:val="0"/>
        </w:numPr>
        <w:spacing w:before="0" w:after="0"/>
        <w:rPr>
          <w:sz w:val="26"/>
          <w:szCs w:val="26"/>
          <w:lang w:val="es-ES_tradnl"/>
        </w:rPr>
      </w:pPr>
    </w:p>
    <w:p w14:paraId="1A9B7778" w14:textId="3EBCB3D3" w:rsidR="00523009" w:rsidRPr="00F715E7" w:rsidRDefault="00523009" w:rsidP="0098787A">
      <w:pPr>
        <w:pStyle w:val="Estilo1"/>
        <w:numPr>
          <w:ilvl w:val="0"/>
          <w:numId w:val="6"/>
        </w:numPr>
        <w:spacing w:before="0" w:after="0"/>
        <w:ind w:left="0"/>
        <w:rPr>
          <w:sz w:val="26"/>
          <w:szCs w:val="26"/>
          <w:lang w:val="es-ES_tradnl"/>
        </w:rPr>
      </w:pPr>
      <w:r w:rsidRPr="00F715E7">
        <w:rPr>
          <w:sz w:val="26"/>
          <w:szCs w:val="26"/>
          <w:lang w:val="es-ES_tradnl"/>
        </w:rPr>
        <w:t xml:space="preserve">El artículo 105, fracción II, inciso f), de la Constitución </w:t>
      </w:r>
      <w:r w:rsidR="00820A3C" w:rsidRPr="00F715E7">
        <w:rPr>
          <w:sz w:val="26"/>
          <w:szCs w:val="26"/>
          <w:lang w:val="es-ES_tradnl"/>
        </w:rPr>
        <w:t xml:space="preserve">Política de los Estados Unidos Mexicanos </w:t>
      </w:r>
      <w:r w:rsidRPr="00F715E7">
        <w:rPr>
          <w:sz w:val="26"/>
          <w:szCs w:val="26"/>
          <w:lang w:val="es-ES_tradnl"/>
        </w:rPr>
        <w:t xml:space="preserve">dispone, en lo que interesa, que los partidos políticos con registro ante el Instituto Nacional Electoral o registro ante la </w:t>
      </w:r>
      <w:r w:rsidRPr="00F715E7">
        <w:rPr>
          <w:sz w:val="26"/>
          <w:szCs w:val="26"/>
          <w:lang w:val="es-ES_tradnl"/>
        </w:rPr>
        <w:lastRenderedPageBreak/>
        <w:t xml:space="preserve">autoridad estatal, por conducto de sus dirigentes nacionales o estatales, podrán promover acciones de inconstitucionalidad en contra de leyes electorales y locales o sólo </w:t>
      </w:r>
      <w:r w:rsidR="00E51A0E" w:rsidRPr="00F715E7">
        <w:rPr>
          <w:sz w:val="26"/>
          <w:szCs w:val="26"/>
          <w:lang w:val="es-ES_tradnl"/>
        </w:rPr>
        <w:t>estas últimas</w:t>
      </w:r>
      <w:r w:rsidRPr="00F715E7">
        <w:rPr>
          <w:sz w:val="26"/>
          <w:szCs w:val="26"/>
          <w:lang w:val="es-ES_tradnl"/>
        </w:rPr>
        <w:t xml:space="preserve">, según corresponda. Por su parte, el </w:t>
      </w:r>
      <w:r w:rsidR="002E6DAA">
        <w:rPr>
          <w:sz w:val="26"/>
          <w:szCs w:val="26"/>
          <w:lang w:val="es-ES_tradnl"/>
        </w:rPr>
        <w:t>numeral</w:t>
      </w:r>
      <w:r w:rsidRPr="00F715E7">
        <w:rPr>
          <w:sz w:val="26"/>
          <w:szCs w:val="26"/>
          <w:lang w:val="es-ES_tradnl"/>
        </w:rPr>
        <w:t xml:space="preserve"> 62</w:t>
      </w:r>
      <w:r w:rsidR="00FC7420" w:rsidRPr="00F715E7">
        <w:rPr>
          <w:sz w:val="26"/>
          <w:szCs w:val="26"/>
          <w:lang w:val="es-ES_tradnl"/>
        </w:rPr>
        <w:t>, último párrafo,</w:t>
      </w:r>
      <w:r w:rsidRPr="00F715E7">
        <w:rPr>
          <w:sz w:val="26"/>
          <w:szCs w:val="26"/>
          <w:lang w:val="es-ES_tradnl"/>
        </w:rPr>
        <w:t xml:space="preserve"> de la Ley Reglamentaria </w:t>
      </w:r>
      <w:r w:rsidR="00142512" w:rsidRPr="00F715E7">
        <w:rPr>
          <w:rFonts w:eastAsia="Calibri"/>
          <w:sz w:val="26"/>
          <w:szCs w:val="26"/>
          <w:lang w:val="es-ES_tradnl" w:eastAsia="en-US"/>
        </w:rPr>
        <w:t>de las Fracciones I y II del Artículo 105 de la Constitución Política de los Estados Unidos Mexicanos</w:t>
      </w:r>
      <w:r w:rsidR="00142512" w:rsidRPr="00F715E7">
        <w:rPr>
          <w:rFonts w:eastAsia="Calibri"/>
          <w:sz w:val="26"/>
          <w:szCs w:val="26"/>
          <w:vertAlign w:val="superscript"/>
          <w:lang w:val="es-ES_tradnl" w:eastAsia="en-US"/>
        </w:rPr>
        <w:footnoteReference w:id="10"/>
      </w:r>
      <w:r w:rsidR="00142512" w:rsidRPr="00F715E7">
        <w:rPr>
          <w:sz w:val="26"/>
          <w:szCs w:val="26"/>
          <w:lang w:val="es-ES_tradnl"/>
        </w:rPr>
        <w:t xml:space="preserve"> </w:t>
      </w:r>
      <w:r w:rsidRPr="00F715E7">
        <w:rPr>
          <w:sz w:val="26"/>
          <w:szCs w:val="26"/>
          <w:lang w:val="es-ES_tradnl"/>
        </w:rPr>
        <w:t>establece que se considerarán parte demandante en las acciones promovidas contras leyes electorales, a los partidos políticos con registro, por conducto de sus dirigentes nacionales o estatales, cuando así corresponda.</w:t>
      </w:r>
    </w:p>
    <w:p w14:paraId="5043E141" w14:textId="77777777" w:rsidR="00B645B3" w:rsidRPr="00F715E7" w:rsidRDefault="00B645B3" w:rsidP="0098787A">
      <w:pPr>
        <w:pStyle w:val="Estilo1"/>
        <w:numPr>
          <w:ilvl w:val="0"/>
          <w:numId w:val="0"/>
        </w:numPr>
        <w:spacing w:before="0" w:after="0"/>
        <w:rPr>
          <w:sz w:val="26"/>
          <w:szCs w:val="26"/>
          <w:lang w:val="es-ES_tradnl"/>
        </w:rPr>
      </w:pPr>
    </w:p>
    <w:p w14:paraId="5942E473" w14:textId="451C8A7D" w:rsidR="00523009" w:rsidRPr="00F715E7" w:rsidRDefault="00820A3C" w:rsidP="0098787A">
      <w:pPr>
        <w:pStyle w:val="Estilo1"/>
        <w:numPr>
          <w:ilvl w:val="0"/>
          <w:numId w:val="6"/>
        </w:numPr>
        <w:spacing w:before="0" w:after="0"/>
        <w:ind w:left="0"/>
        <w:rPr>
          <w:sz w:val="26"/>
          <w:szCs w:val="26"/>
          <w:lang w:val="es-ES_tradnl"/>
        </w:rPr>
      </w:pPr>
      <w:r w:rsidRPr="00F715E7">
        <w:rPr>
          <w:sz w:val="26"/>
          <w:szCs w:val="26"/>
          <w:lang w:val="es-ES_tradnl"/>
        </w:rPr>
        <w:t>Sobre esa base</w:t>
      </w:r>
      <w:r w:rsidR="00523009" w:rsidRPr="00F715E7">
        <w:rPr>
          <w:sz w:val="26"/>
          <w:szCs w:val="26"/>
          <w:lang w:val="es-ES_tradnl"/>
        </w:rPr>
        <w:t>, una acción de inconstitucionalidad puede ser presentada por los partidos políticos, según sea el caso, en contra de leyes electorales federales o locales, por conducto de sus dirigencias y para lo cual debe observarse que:</w:t>
      </w:r>
    </w:p>
    <w:p w14:paraId="72F9B200" w14:textId="77777777" w:rsidR="00D23BCC" w:rsidRPr="00F715E7" w:rsidRDefault="00D23BCC" w:rsidP="001E1EF8">
      <w:pPr>
        <w:pStyle w:val="Estilo1"/>
        <w:numPr>
          <w:ilvl w:val="0"/>
          <w:numId w:val="0"/>
        </w:numPr>
        <w:spacing w:before="0" w:after="0"/>
        <w:rPr>
          <w:sz w:val="26"/>
          <w:szCs w:val="26"/>
          <w:lang w:val="es-ES_tradnl"/>
        </w:rPr>
      </w:pPr>
    </w:p>
    <w:p w14:paraId="7642EFE8" w14:textId="77777777" w:rsidR="00523009" w:rsidRPr="00F715E7" w:rsidRDefault="00523009" w:rsidP="001E1EF8">
      <w:pPr>
        <w:pStyle w:val="Estilo1"/>
        <w:numPr>
          <w:ilvl w:val="0"/>
          <w:numId w:val="4"/>
        </w:numPr>
        <w:spacing w:before="0" w:after="0"/>
        <w:ind w:left="1134" w:hanging="425"/>
        <w:rPr>
          <w:sz w:val="26"/>
          <w:szCs w:val="26"/>
          <w:lang w:val="es-ES_tradnl"/>
        </w:rPr>
      </w:pPr>
      <w:r w:rsidRPr="00F715E7">
        <w:rPr>
          <w:sz w:val="26"/>
          <w:szCs w:val="26"/>
          <w:lang w:val="es-ES_tradnl"/>
        </w:rPr>
        <w:t xml:space="preserve">El partido político cuente con registro ante la autoridad electoral correspondiente. </w:t>
      </w:r>
    </w:p>
    <w:p w14:paraId="00FA9936" w14:textId="48FE5210" w:rsidR="00523009" w:rsidRPr="00F715E7" w:rsidRDefault="00523009" w:rsidP="001E1EF8">
      <w:pPr>
        <w:pStyle w:val="Estilo1"/>
        <w:numPr>
          <w:ilvl w:val="0"/>
          <w:numId w:val="4"/>
        </w:numPr>
        <w:spacing w:before="0" w:after="0"/>
        <w:ind w:left="1134"/>
        <w:rPr>
          <w:sz w:val="26"/>
          <w:szCs w:val="26"/>
          <w:lang w:val="es-ES_tradnl"/>
        </w:rPr>
      </w:pPr>
      <w:r w:rsidRPr="00F715E7">
        <w:rPr>
          <w:sz w:val="26"/>
          <w:szCs w:val="26"/>
          <w:lang w:val="es-ES_tradnl"/>
        </w:rPr>
        <w:t>El instituto accionante promueva por conducto de su dirigencia (nacional o estatal, según sea el caso).</w:t>
      </w:r>
    </w:p>
    <w:p w14:paraId="28D45EE5" w14:textId="77777777" w:rsidR="00523009" w:rsidRPr="00F715E7" w:rsidRDefault="00523009" w:rsidP="001E1EF8">
      <w:pPr>
        <w:pStyle w:val="Estilo1"/>
        <w:numPr>
          <w:ilvl w:val="0"/>
          <w:numId w:val="4"/>
        </w:numPr>
        <w:spacing w:before="0" w:after="0"/>
        <w:ind w:left="1134"/>
        <w:rPr>
          <w:sz w:val="26"/>
          <w:szCs w:val="26"/>
          <w:lang w:val="es-ES_tradnl"/>
        </w:rPr>
      </w:pPr>
      <w:r w:rsidRPr="00F715E7">
        <w:rPr>
          <w:sz w:val="26"/>
          <w:szCs w:val="26"/>
          <w:lang w:val="es-ES_tradnl"/>
        </w:rPr>
        <w:t>Quien suscriba a su nombre y representación cuenta con facultades para ello, y</w:t>
      </w:r>
    </w:p>
    <w:p w14:paraId="76494C75" w14:textId="7531E7D4" w:rsidR="00523009" w:rsidRPr="00F715E7" w:rsidRDefault="00523009" w:rsidP="001E1EF8">
      <w:pPr>
        <w:pStyle w:val="Estilo1"/>
        <w:numPr>
          <w:ilvl w:val="0"/>
          <w:numId w:val="4"/>
        </w:numPr>
        <w:spacing w:before="0" w:after="0"/>
        <w:ind w:left="1134"/>
        <w:rPr>
          <w:sz w:val="26"/>
          <w:szCs w:val="26"/>
          <w:lang w:val="es-ES_tradnl"/>
        </w:rPr>
      </w:pPr>
      <w:r w:rsidRPr="00F715E7">
        <w:rPr>
          <w:sz w:val="26"/>
          <w:szCs w:val="26"/>
          <w:lang w:val="es-ES_tradnl"/>
        </w:rPr>
        <w:t>Las normas impugnadas sean de naturaleza electoral.</w:t>
      </w:r>
    </w:p>
    <w:p w14:paraId="16979625" w14:textId="77777777" w:rsidR="00B645B3" w:rsidRPr="00F715E7" w:rsidRDefault="00B645B3" w:rsidP="0098787A">
      <w:pPr>
        <w:pStyle w:val="Estilo1"/>
        <w:numPr>
          <w:ilvl w:val="0"/>
          <w:numId w:val="0"/>
        </w:numPr>
        <w:spacing w:before="0" w:after="0"/>
        <w:ind w:left="426"/>
        <w:rPr>
          <w:sz w:val="26"/>
          <w:szCs w:val="26"/>
          <w:lang w:val="es-ES_tradnl"/>
        </w:rPr>
      </w:pPr>
    </w:p>
    <w:p w14:paraId="4B08FE14" w14:textId="00F375D3" w:rsidR="00B87A68" w:rsidRPr="00F715E7" w:rsidRDefault="00BA58D9" w:rsidP="0098787A">
      <w:pPr>
        <w:pStyle w:val="Estilo1"/>
        <w:numPr>
          <w:ilvl w:val="0"/>
          <w:numId w:val="6"/>
        </w:numPr>
        <w:spacing w:before="0" w:after="0"/>
        <w:ind w:left="0"/>
        <w:rPr>
          <w:sz w:val="26"/>
          <w:szCs w:val="26"/>
          <w:lang w:val="es-ES_tradnl"/>
        </w:rPr>
      </w:pPr>
      <w:r w:rsidRPr="00F715E7">
        <w:rPr>
          <w:sz w:val="26"/>
          <w:szCs w:val="26"/>
          <w:lang w:val="es-ES_tradnl"/>
        </w:rPr>
        <w:lastRenderedPageBreak/>
        <w:t>E</w:t>
      </w:r>
      <w:r w:rsidR="00E34907" w:rsidRPr="00F715E7">
        <w:rPr>
          <w:sz w:val="26"/>
          <w:szCs w:val="26"/>
          <w:lang w:val="es-ES_tradnl"/>
        </w:rPr>
        <w:t>n este caso</w:t>
      </w:r>
      <w:r w:rsidR="009512A4" w:rsidRPr="00F715E7">
        <w:rPr>
          <w:sz w:val="26"/>
          <w:szCs w:val="26"/>
          <w:lang w:val="es-ES_tradnl"/>
        </w:rPr>
        <w:t>, e</w:t>
      </w:r>
      <w:r w:rsidR="00523009" w:rsidRPr="00F715E7">
        <w:rPr>
          <w:sz w:val="26"/>
          <w:szCs w:val="26"/>
          <w:lang w:val="es-ES_tradnl"/>
        </w:rPr>
        <w:t xml:space="preserve">ste Tribunal Pleno considera que </w:t>
      </w:r>
      <w:r w:rsidR="009512A4" w:rsidRPr="00F715E7">
        <w:rPr>
          <w:sz w:val="26"/>
          <w:szCs w:val="26"/>
          <w:lang w:val="es-ES_tradnl"/>
        </w:rPr>
        <w:t xml:space="preserve">los </w:t>
      </w:r>
      <w:r w:rsidR="009F004E" w:rsidRPr="00F715E7">
        <w:rPr>
          <w:sz w:val="26"/>
          <w:szCs w:val="26"/>
          <w:lang w:val="es-ES_tradnl"/>
        </w:rPr>
        <w:t>demandantes</w:t>
      </w:r>
      <w:r w:rsidR="009512A4" w:rsidRPr="00F715E7">
        <w:rPr>
          <w:sz w:val="26"/>
          <w:szCs w:val="26"/>
          <w:lang w:val="es-ES_tradnl"/>
        </w:rPr>
        <w:t xml:space="preserve"> han</w:t>
      </w:r>
      <w:r w:rsidR="00523009" w:rsidRPr="00F715E7">
        <w:rPr>
          <w:sz w:val="26"/>
          <w:szCs w:val="26"/>
          <w:lang w:val="es-ES_tradnl"/>
        </w:rPr>
        <w:t xml:space="preserve"> acredita</w:t>
      </w:r>
      <w:r w:rsidR="009512A4" w:rsidRPr="00F715E7">
        <w:rPr>
          <w:sz w:val="26"/>
          <w:szCs w:val="26"/>
          <w:lang w:val="es-ES_tradnl"/>
        </w:rPr>
        <w:t>do</w:t>
      </w:r>
      <w:r w:rsidR="00523009" w:rsidRPr="00F715E7">
        <w:rPr>
          <w:sz w:val="26"/>
          <w:szCs w:val="26"/>
          <w:lang w:val="es-ES_tradnl"/>
        </w:rPr>
        <w:t xml:space="preserve"> </w:t>
      </w:r>
      <w:r w:rsidR="009512A4" w:rsidRPr="00F715E7">
        <w:rPr>
          <w:sz w:val="26"/>
          <w:szCs w:val="26"/>
          <w:lang w:val="es-ES_tradnl"/>
        </w:rPr>
        <w:t>su legitimación</w:t>
      </w:r>
      <w:r w:rsidR="009F004E" w:rsidRPr="00F715E7">
        <w:rPr>
          <w:sz w:val="26"/>
          <w:szCs w:val="26"/>
          <w:lang w:val="es-ES_tradnl"/>
        </w:rPr>
        <w:t xml:space="preserve"> para promover las demandas que dan lugar al </w:t>
      </w:r>
      <w:r w:rsidR="003C239B" w:rsidRPr="00F715E7">
        <w:rPr>
          <w:sz w:val="26"/>
          <w:szCs w:val="26"/>
          <w:lang w:val="es-ES_tradnl"/>
        </w:rPr>
        <w:t>presente asunto</w:t>
      </w:r>
      <w:r w:rsidR="00523009" w:rsidRPr="00F715E7">
        <w:rPr>
          <w:sz w:val="26"/>
          <w:szCs w:val="26"/>
          <w:lang w:val="es-ES_tradnl"/>
        </w:rPr>
        <w:t>.</w:t>
      </w:r>
    </w:p>
    <w:p w14:paraId="508CDC23" w14:textId="77777777" w:rsidR="00B645B3" w:rsidRPr="00F715E7" w:rsidRDefault="00B645B3" w:rsidP="0098787A">
      <w:pPr>
        <w:pStyle w:val="Estilo1"/>
        <w:numPr>
          <w:ilvl w:val="0"/>
          <w:numId w:val="0"/>
        </w:numPr>
        <w:spacing w:before="0" w:after="0"/>
        <w:rPr>
          <w:sz w:val="26"/>
          <w:szCs w:val="26"/>
          <w:lang w:val="es-ES_tradnl"/>
        </w:rPr>
      </w:pPr>
    </w:p>
    <w:p w14:paraId="11EA799C" w14:textId="7B6F599B" w:rsidR="00B645B3" w:rsidRPr="00F715E7" w:rsidRDefault="00B87A68" w:rsidP="0098787A">
      <w:pPr>
        <w:pStyle w:val="Estilo1"/>
        <w:numPr>
          <w:ilvl w:val="0"/>
          <w:numId w:val="6"/>
        </w:numPr>
        <w:spacing w:before="0" w:after="0"/>
        <w:ind w:left="0"/>
        <w:rPr>
          <w:sz w:val="26"/>
          <w:szCs w:val="26"/>
          <w:lang w:val="es-ES_tradnl"/>
        </w:rPr>
      </w:pPr>
      <w:r w:rsidRPr="00F715E7">
        <w:rPr>
          <w:sz w:val="26"/>
          <w:szCs w:val="26"/>
          <w:lang w:val="es-ES_tradnl"/>
        </w:rPr>
        <w:t xml:space="preserve">Se sostiene lo anterior porque de las constancias que obran en autos se advierte que los </w:t>
      </w:r>
      <w:r w:rsidR="002D0915" w:rsidRPr="00F715E7">
        <w:rPr>
          <w:sz w:val="26"/>
          <w:szCs w:val="26"/>
          <w:lang w:val="es-ES_tradnl"/>
        </w:rPr>
        <w:t>demandantes</w:t>
      </w:r>
      <w:r w:rsidRPr="00F715E7">
        <w:rPr>
          <w:sz w:val="26"/>
          <w:szCs w:val="26"/>
          <w:lang w:val="es-ES_tradnl"/>
        </w:rPr>
        <w:t xml:space="preserve"> son partidos políticos nacionales con registro ante Instituto Nacional Electoral y que las personas que acudieron en su nombre cuentan con las atribuciones necesarias</w:t>
      </w:r>
      <w:r w:rsidR="003C239B" w:rsidRPr="00F715E7">
        <w:rPr>
          <w:sz w:val="26"/>
          <w:szCs w:val="26"/>
          <w:lang w:val="es-ES_tradnl"/>
        </w:rPr>
        <w:t xml:space="preserve"> a efecto de impugnar la norma electoral que ya ha sido precisada previamente.</w:t>
      </w:r>
    </w:p>
    <w:p w14:paraId="79CD8564" w14:textId="77777777" w:rsidR="00B645B3" w:rsidRPr="00F715E7" w:rsidRDefault="00B645B3" w:rsidP="0098787A">
      <w:pPr>
        <w:pStyle w:val="Estilo1"/>
        <w:numPr>
          <w:ilvl w:val="0"/>
          <w:numId w:val="0"/>
        </w:numPr>
        <w:spacing w:before="0" w:after="0"/>
        <w:rPr>
          <w:sz w:val="26"/>
          <w:szCs w:val="26"/>
          <w:lang w:val="es-ES_tradnl"/>
        </w:rPr>
      </w:pPr>
    </w:p>
    <w:p w14:paraId="39770D31" w14:textId="09CD6D96" w:rsidR="00B645B3" w:rsidRPr="00F715E7" w:rsidRDefault="00670B84" w:rsidP="0098787A">
      <w:pPr>
        <w:pStyle w:val="Estilo1"/>
        <w:numPr>
          <w:ilvl w:val="0"/>
          <w:numId w:val="6"/>
        </w:numPr>
        <w:spacing w:before="0" w:after="0"/>
        <w:ind w:left="0"/>
        <w:rPr>
          <w:sz w:val="26"/>
          <w:szCs w:val="26"/>
          <w:lang w:val="es-ES_tradnl"/>
        </w:rPr>
      </w:pPr>
      <w:r w:rsidRPr="00F715E7">
        <w:rPr>
          <w:sz w:val="26"/>
          <w:szCs w:val="26"/>
          <w:lang w:val="es-ES_tradnl"/>
        </w:rPr>
        <w:t xml:space="preserve">En efecto, </w:t>
      </w:r>
      <w:r w:rsidR="009100CE" w:rsidRPr="00F715E7">
        <w:rPr>
          <w:sz w:val="26"/>
          <w:szCs w:val="26"/>
          <w:lang w:val="es-ES_tradnl"/>
        </w:rPr>
        <w:t xml:space="preserve">por lo que hace al </w:t>
      </w:r>
      <w:r w:rsidR="009100CE" w:rsidRPr="00F715E7">
        <w:rPr>
          <w:b/>
          <w:bCs/>
          <w:sz w:val="26"/>
          <w:szCs w:val="26"/>
          <w:lang w:val="es-ES_tradnl"/>
        </w:rPr>
        <w:t>Partido del Trabajo</w:t>
      </w:r>
      <w:r w:rsidR="009100CE" w:rsidRPr="00F715E7">
        <w:rPr>
          <w:sz w:val="26"/>
          <w:szCs w:val="26"/>
          <w:lang w:val="es-ES_tradnl"/>
        </w:rPr>
        <w:t xml:space="preserve">, el escrito de demanda fue firmado por Alberto Anaya Gutiérrez, María Guadalupe Rodríguez Martínez, Alejandro González Yáñez, Pedro Vázquez González, Reginaldo Sandoval Flores, Oscar González Yáñez, Francisco Amadeo Espinosa Ramos, Ángel Benjamín Robles Montoya, María Mercedes Maciel Ortiz, Magdalena del Socorro Núñez Monreal, Mary Carmen Bernal Martínez y Sonia Catalina Álvarez, en su carácter de integrantes de la Comisión Coordinadora del instituto político referido. </w:t>
      </w:r>
      <w:r w:rsidR="009C697B" w:rsidRPr="00F715E7">
        <w:rPr>
          <w:sz w:val="26"/>
          <w:szCs w:val="26"/>
          <w:lang w:val="es-ES_tradnl"/>
        </w:rPr>
        <w:t>Debe</w:t>
      </w:r>
      <w:r w:rsidR="009100CE" w:rsidRPr="00F715E7">
        <w:rPr>
          <w:sz w:val="26"/>
          <w:szCs w:val="26"/>
          <w:lang w:val="es-ES_tradnl"/>
        </w:rPr>
        <w:t xml:space="preserve"> precisarse que de ese escrito también se advierte que</w:t>
      </w:r>
      <w:r w:rsidR="00785570" w:rsidRPr="00F715E7">
        <w:rPr>
          <w:sz w:val="26"/>
          <w:szCs w:val="26"/>
          <w:lang w:val="es-ES_tradnl"/>
        </w:rPr>
        <w:t xml:space="preserve">, aunque </w:t>
      </w:r>
      <w:r w:rsidR="009C697B" w:rsidRPr="00F715E7">
        <w:rPr>
          <w:sz w:val="26"/>
          <w:szCs w:val="26"/>
          <w:lang w:val="es-ES_tradnl"/>
        </w:rPr>
        <w:t>fueron asentados sus nombres</w:t>
      </w:r>
      <w:r w:rsidR="008C2B0B" w:rsidRPr="00F715E7">
        <w:rPr>
          <w:sz w:val="26"/>
          <w:szCs w:val="26"/>
          <w:lang w:val="es-ES_tradnl"/>
        </w:rPr>
        <w:t xml:space="preserve"> en la demanda</w:t>
      </w:r>
      <w:r w:rsidR="00785570" w:rsidRPr="00F715E7">
        <w:rPr>
          <w:sz w:val="26"/>
          <w:szCs w:val="26"/>
          <w:lang w:val="es-ES_tradnl"/>
        </w:rPr>
        <w:t>,</w:t>
      </w:r>
      <w:r w:rsidR="009100CE" w:rsidRPr="00F715E7">
        <w:rPr>
          <w:sz w:val="26"/>
          <w:szCs w:val="26"/>
          <w:lang w:val="es-ES_tradnl"/>
        </w:rPr>
        <w:t xml:space="preserve"> no obra la firma de </w:t>
      </w:r>
      <w:r w:rsidR="008C2B0B" w:rsidRPr="00F715E7">
        <w:rPr>
          <w:sz w:val="26"/>
          <w:szCs w:val="26"/>
          <w:lang w:val="es-ES_tradnl"/>
        </w:rPr>
        <w:t xml:space="preserve">Ricardo Cantú Garza ni de </w:t>
      </w:r>
      <w:r w:rsidR="009100CE" w:rsidRPr="00F715E7">
        <w:rPr>
          <w:sz w:val="26"/>
          <w:szCs w:val="26"/>
          <w:lang w:val="es-ES_tradnl"/>
        </w:rPr>
        <w:t>Geovanna del Carmen Bañuelos de la Torre, como integrante</w:t>
      </w:r>
      <w:r w:rsidR="00CA2A31" w:rsidRPr="00F715E7">
        <w:rPr>
          <w:sz w:val="26"/>
          <w:szCs w:val="26"/>
          <w:lang w:val="es-ES_tradnl"/>
        </w:rPr>
        <w:t>s</w:t>
      </w:r>
      <w:r w:rsidR="009100CE" w:rsidRPr="00F715E7">
        <w:rPr>
          <w:sz w:val="26"/>
          <w:szCs w:val="26"/>
          <w:lang w:val="es-ES_tradnl"/>
        </w:rPr>
        <w:t xml:space="preserve"> de dicha Comisión.</w:t>
      </w:r>
    </w:p>
    <w:p w14:paraId="28F1BF8D" w14:textId="77777777" w:rsidR="00B645B3" w:rsidRPr="00F715E7" w:rsidRDefault="00B645B3" w:rsidP="0098787A">
      <w:pPr>
        <w:pStyle w:val="Estilo1"/>
        <w:numPr>
          <w:ilvl w:val="0"/>
          <w:numId w:val="0"/>
        </w:numPr>
        <w:spacing w:before="0" w:after="0"/>
        <w:rPr>
          <w:sz w:val="26"/>
          <w:szCs w:val="26"/>
          <w:lang w:val="es-ES_tradnl"/>
        </w:rPr>
      </w:pPr>
    </w:p>
    <w:p w14:paraId="5367CD15" w14:textId="5F923DA2" w:rsidR="009100CE" w:rsidRPr="00F715E7" w:rsidRDefault="00263A1E" w:rsidP="0098787A">
      <w:pPr>
        <w:pStyle w:val="Estilo1"/>
        <w:numPr>
          <w:ilvl w:val="0"/>
          <w:numId w:val="6"/>
        </w:numPr>
        <w:spacing w:before="0" w:after="0"/>
        <w:ind w:left="0"/>
        <w:rPr>
          <w:sz w:val="26"/>
          <w:szCs w:val="26"/>
          <w:lang w:val="es-ES_tradnl"/>
        </w:rPr>
      </w:pPr>
      <w:r w:rsidRPr="00F715E7">
        <w:rPr>
          <w:sz w:val="26"/>
          <w:szCs w:val="26"/>
          <w:lang w:val="es-ES_tradnl"/>
        </w:rPr>
        <w:t>No obstante esto último</w:t>
      </w:r>
      <w:r w:rsidR="009100CE" w:rsidRPr="00F715E7">
        <w:rPr>
          <w:sz w:val="26"/>
          <w:szCs w:val="26"/>
          <w:lang w:val="es-ES_tradnl"/>
        </w:rPr>
        <w:t xml:space="preserve">, </w:t>
      </w:r>
      <w:r w:rsidRPr="00F715E7">
        <w:rPr>
          <w:sz w:val="26"/>
          <w:szCs w:val="26"/>
          <w:lang w:val="es-ES_tradnl"/>
        </w:rPr>
        <w:t>está</w:t>
      </w:r>
      <w:r w:rsidR="009100CE" w:rsidRPr="00F715E7">
        <w:rPr>
          <w:sz w:val="26"/>
          <w:szCs w:val="26"/>
          <w:lang w:val="es-ES_tradnl"/>
        </w:rPr>
        <w:t xml:space="preserve"> acredit</w:t>
      </w:r>
      <w:r w:rsidRPr="00F715E7">
        <w:rPr>
          <w:sz w:val="26"/>
          <w:szCs w:val="26"/>
          <w:lang w:val="es-ES_tradnl"/>
        </w:rPr>
        <w:t>ada</w:t>
      </w:r>
      <w:r w:rsidR="009100CE" w:rsidRPr="00F715E7">
        <w:rPr>
          <w:sz w:val="26"/>
          <w:szCs w:val="26"/>
          <w:lang w:val="es-ES_tradnl"/>
        </w:rPr>
        <w:t xml:space="preserve"> </w:t>
      </w:r>
      <w:r w:rsidRPr="00F715E7">
        <w:rPr>
          <w:sz w:val="26"/>
          <w:szCs w:val="26"/>
          <w:lang w:val="es-ES_tradnl"/>
        </w:rPr>
        <w:t>la</w:t>
      </w:r>
      <w:r w:rsidR="009100CE" w:rsidRPr="00F715E7">
        <w:rPr>
          <w:sz w:val="26"/>
          <w:szCs w:val="26"/>
          <w:lang w:val="es-ES_tradnl"/>
        </w:rPr>
        <w:t xml:space="preserve"> legitimación</w:t>
      </w:r>
      <w:r w:rsidRPr="00F715E7">
        <w:rPr>
          <w:sz w:val="26"/>
          <w:szCs w:val="26"/>
          <w:lang w:val="es-ES_tradnl"/>
        </w:rPr>
        <w:t xml:space="preserve"> de los promoventes</w:t>
      </w:r>
      <w:r w:rsidR="00E34907" w:rsidRPr="00F715E7">
        <w:rPr>
          <w:sz w:val="26"/>
          <w:szCs w:val="26"/>
          <w:lang w:val="es-ES_tradnl"/>
        </w:rPr>
        <w:t xml:space="preserve"> y el registro ante la autoridad electoral</w:t>
      </w:r>
      <w:r w:rsidRPr="00F715E7">
        <w:rPr>
          <w:sz w:val="26"/>
          <w:szCs w:val="26"/>
          <w:lang w:val="es-ES_tradnl"/>
        </w:rPr>
        <w:t>; ello debido a que en autos obra el oficio INE/DJ/</w:t>
      </w:r>
      <w:r w:rsidR="004D3DEA" w:rsidRPr="00F715E7">
        <w:rPr>
          <w:sz w:val="26"/>
          <w:szCs w:val="26"/>
          <w:lang w:val="es-ES_tradnl"/>
        </w:rPr>
        <w:t xml:space="preserve">1539/2022, signado por el Director Jurídico del Instituto Nacional Electoral, del cual se desprende que efectivamente esas personas forman </w:t>
      </w:r>
      <w:r w:rsidR="00785570" w:rsidRPr="00F715E7">
        <w:rPr>
          <w:sz w:val="26"/>
          <w:szCs w:val="26"/>
          <w:lang w:val="es-ES_tradnl"/>
        </w:rPr>
        <w:t xml:space="preserve">parte de la Comisión Coordinadora del Partido del Trabajo, </w:t>
      </w:r>
      <w:r w:rsidR="00785570" w:rsidRPr="00F715E7">
        <w:rPr>
          <w:sz w:val="26"/>
          <w:szCs w:val="26"/>
          <w:lang w:val="es-ES_tradnl"/>
        </w:rPr>
        <w:lastRenderedPageBreak/>
        <w:t xml:space="preserve">quienes </w:t>
      </w:r>
      <w:r w:rsidR="00F85BCA" w:rsidRPr="00F715E7">
        <w:rPr>
          <w:sz w:val="26"/>
          <w:szCs w:val="26"/>
          <w:lang w:val="es-ES_tradnl"/>
        </w:rPr>
        <w:t>al actuar como mayoría</w:t>
      </w:r>
      <w:r w:rsidR="00F85BCA" w:rsidRPr="00F715E7">
        <w:rPr>
          <w:rStyle w:val="Refdenotaalpie"/>
          <w:sz w:val="26"/>
          <w:szCs w:val="26"/>
          <w:lang w:val="es-ES_tradnl"/>
        </w:rPr>
        <w:footnoteReference w:id="11"/>
      </w:r>
      <w:r w:rsidR="00F85BCA" w:rsidRPr="00F715E7">
        <w:rPr>
          <w:sz w:val="26"/>
          <w:szCs w:val="26"/>
          <w:lang w:val="es-ES_tradnl"/>
        </w:rPr>
        <w:t xml:space="preserve"> ejercen la representación política y legal de ese instituto político, </w:t>
      </w:r>
      <w:r w:rsidR="00785570" w:rsidRPr="00F715E7">
        <w:rPr>
          <w:sz w:val="26"/>
          <w:szCs w:val="26"/>
          <w:lang w:val="es-ES_tradnl"/>
        </w:rPr>
        <w:t xml:space="preserve">en términos </w:t>
      </w:r>
      <w:r w:rsidR="00F85BCA" w:rsidRPr="00F715E7">
        <w:rPr>
          <w:sz w:val="26"/>
          <w:szCs w:val="26"/>
          <w:lang w:val="es-ES_tradnl"/>
        </w:rPr>
        <w:t>de los artículos 43 y 44, inciso a), del Estatuto de dicho partido político.</w:t>
      </w:r>
      <w:r w:rsidR="004D44A8" w:rsidRPr="00F715E7">
        <w:rPr>
          <w:rStyle w:val="Refdenotaalpie"/>
          <w:sz w:val="26"/>
          <w:szCs w:val="26"/>
          <w:lang w:val="es-ES_tradnl"/>
        </w:rPr>
        <w:footnoteReference w:id="12"/>
      </w:r>
    </w:p>
    <w:p w14:paraId="085368DD" w14:textId="77777777" w:rsidR="00B645B3" w:rsidRPr="00F715E7" w:rsidRDefault="00B645B3" w:rsidP="0098787A">
      <w:pPr>
        <w:pStyle w:val="Estilo1"/>
        <w:numPr>
          <w:ilvl w:val="0"/>
          <w:numId w:val="0"/>
        </w:numPr>
        <w:spacing w:before="0" w:after="0"/>
        <w:rPr>
          <w:sz w:val="26"/>
          <w:szCs w:val="26"/>
          <w:lang w:val="es-ES_tradnl"/>
        </w:rPr>
      </w:pPr>
    </w:p>
    <w:p w14:paraId="7FA951C1" w14:textId="5A27B458" w:rsidR="00FB0339" w:rsidRPr="00F715E7" w:rsidRDefault="00DB115D" w:rsidP="0098787A">
      <w:pPr>
        <w:pStyle w:val="Prrafodelista"/>
        <w:numPr>
          <w:ilvl w:val="0"/>
          <w:numId w:val="6"/>
        </w:numPr>
        <w:spacing w:before="0" w:after="0" w:line="360" w:lineRule="auto"/>
        <w:ind w:left="0"/>
        <w:rPr>
          <w:sz w:val="26"/>
          <w:szCs w:val="26"/>
          <w:lang w:val="es-ES_tradnl"/>
        </w:rPr>
      </w:pPr>
      <w:r w:rsidRPr="00F715E7">
        <w:rPr>
          <w:sz w:val="26"/>
          <w:szCs w:val="26"/>
          <w:lang w:val="es-ES_tradnl"/>
        </w:rPr>
        <w:t xml:space="preserve">En relación con el </w:t>
      </w:r>
      <w:r w:rsidRPr="00F715E7">
        <w:rPr>
          <w:b/>
          <w:bCs/>
          <w:sz w:val="26"/>
          <w:szCs w:val="26"/>
          <w:lang w:val="es-ES_tradnl"/>
        </w:rPr>
        <w:t>Partido Verde Ecologista de México</w:t>
      </w:r>
      <w:r w:rsidRPr="00F715E7">
        <w:rPr>
          <w:sz w:val="26"/>
          <w:szCs w:val="26"/>
          <w:lang w:val="es-ES_tradnl"/>
        </w:rPr>
        <w:t xml:space="preserve">, </w:t>
      </w:r>
      <w:r w:rsidR="00C0251E" w:rsidRPr="00F715E7">
        <w:rPr>
          <w:sz w:val="26"/>
          <w:szCs w:val="26"/>
          <w:lang w:val="es-ES_tradnl"/>
        </w:rPr>
        <w:t>éste</w:t>
      </w:r>
      <w:r w:rsidR="00E34907" w:rsidRPr="00F715E7">
        <w:rPr>
          <w:sz w:val="26"/>
          <w:szCs w:val="26"/>
          <w:lang w:val="es-ES_tradnl"/>
        </w:rPr>
        <w:t xml:space="preserve"> se encuentra registrado ante la autoridad electoral y </w:t>
      </w:r>
      <w:r w:rsidRPr="00F715E7">
        <w:rPr>
          <w:sz w:val="26"/>
          <w:szCs w:val="26"/>
          <w:lang w:val="es-ES_tradnl"/>
        </w:rPr>
        <w:t>el escrito</w:t>
      </w:r>
      <w:r w:rsidR="0089224C" w:rsidRPr="00F715E7">
        <w:rPr>
          <w:sz w:val="26"/>
          <w:szCs w:val="26"/>
          <w:lang w:val="es-ES_tradnl"/>
        </w:rPr>
        <w:t xml:space="preserve"> de demanda</w:t>
      </w:r>
      <w:r w:rsidRPr="00F715E7">
        <w:rPr>
          <w:sz w:val="26"/>
          <w:szCs w:val="26"/>
          <w:lang w:val="es-ES_tradnl"/>
        </w:rPr>
        <w:t xml:space="preserve"> fue firmado electrónicamente por Raúl Servín Ramírez, en su carácter de representante legal de dicho instituto político</w:t>
      </w:r>
      <w:r w:rsidR="00106D18" w:rsidRPr="00F715E7">
        <w:rPr>
          <w:sz w:val="26"/>
          <w:szCs w:val="26"/>
          <w:lang w:val="es-ES_tradnl"/>
        </w:rPr>
        <w:t xml:space="preserve">, lo cual </w:t>
      </w:r>
      <w:r w:rsidR="00E7509D" w:rsidRPr="00F715E7">
        <w:rPr>
          <w:sz w:val="26"/>
          <w:szCs w:val="26"/>
          <w:lang w:val="es-ES_tradnl"/>
        </w:rPr>
        <w:t>es corroborado en el oficio INE/DJ/15</w:t>
      </w:r>
      <w:r w:rsidR="0086747F" w:rsidRPr="00F715E7">
        <w:rPr>
          <w:sz w:val="26"/>
          <w:szCs w:val="26"/>
          <w:lang w:val="es-ES_tradnl"/>
        </w:rPr>
        <w:t>40</w:t>
      </w:r>
      <w:r w:rsidR="00E7509D" w:rsidRPr="00F715E7">
        <w:rPr>
          <w:sz w:val="26"/>
          <w:szCs w:val="26"/>
          <w:lang w:val="es-ES_tradnl"/>
        </w:rPr>
        <w:t>/2022, signado por el Director Jurídico del Instituto Nacional Electoral</w:t>
      </w:r>
      <w:r w:rsidR="00C8760A" w:rsidRPr="00F715E7">
        <w:rPr>
          <w:sz w:val="26"/>
          <w:szCs w:val="26"/>
          <w:lang w:val="es-ES_tradnl"/>
        </w:rPr>
        <w:t xml:space="preserve"> y </w:t>
      </w:r>
      <w:r w:rsidR="006A7504" w:rsidRPr="00F715E7">
        <w:rPr>
          <w:sz w:val="26"/>
          <w:szCs w:val="26"/>
          <w:lang w:val="es-ES_tradnl"/>
        </w:rPr>
        <w:t>del instrumento notarial trece mil doscientos nueve (13,209), tirado ante la fe del Notario Público Número 52 del Estado de México, donde consta el poder general para pleitos y cobranzas que otorgó ese partido político al signante de la demanda</w:t>
      </w:r>
      <w:r w:rsidR="0019237B" w:rsidRPr="00F715E7">
        <w:rPr>
          <w:sz w:val="26"/>
          <w:szCs w:val="26"/>
          <w:lang w:val="es-ES_tradnl"/>
        </w:rPr>
        <w:t xml:space="preserve">; esto último a través de </w:t>
      </w:r>
      <w:r w:rsidR="0019237B" w:rsidRPr="00F715E7">
        <w:rPr>
          <w:bCs/>
          <w:sz w:val="26"/>
          <w:szCs w:val="26"/>
        </w:rPr>
        <w:t>Pilar Guerrero Rubio y Gabriela Aguilar García, la primera como Secretaria Ejecutiva y la segunda como Secretaria Técnica del Comité Ejecutivo Nacional de ese partido, donde expresamente lo facultaron para interponer toda clase de acciones y representar al partido ante toda clase de autoridades, incluida esta Suprema Corte de Justicia de la Nación</w:t>
      </w:r>
      <w:r w:rsidR="00FB0339" w:rsidRPr="00F715E7">
        <w:rPr>
          <w:bCs/>
          <w:sz w:val="26"/>
          <w:szCs w:val="26"/>
        </w:rPr>
        <w:t>.</w:t>
      </w:r>
      <w:r w:rsidR="006A7504" w:rsidRPr="00F715E7">
        <w:rPr>
          <w:sz w:val="26"/>
          <w:szCs w:val="26"/>
          <w:lang w:val="es-ES_tradnl"/>
        </w:rPr>
        <w:t xml:space="preserve"> </w:t>
      </w:r>
    </w:p>
    <w:p w14:paraId="403E76B9" w14:textId="77777777" w:rsidR="00B645B3" w:rsidRPr="00F715E7" w:rsidRDefault="00B645B3" w:rsidP="0098787A">
      <w:pPr>
        <w:pStyle w:val="Prrafodelista"/>
        <w:spacing w:before="0" w:after="0" w:line="360" w:lineRule="auto"/>
        <w:ind w:left="0"/>
        <w:rPr>
          <w:sz w:val="26"/>
          <w:szCs w:val="26"/>
          <w:lang w:val="es-ES_tradnl"/>
        </w:rPr>
      </w:pPr>
    </w:p>
    <w:p w14:paraId="01E900FD" w14:textId="7F1C285C" w:rsidR="00715BC3" w:rsidRPr="00F715E7" w:rsidRDefault="00FB0339" w:rsidP="0098787A">
      <w:pPr>
        <w:pStyle w:val="Prrafodelista"/>
        <w:numPr>
          <w:ilvl w:val="0"/>
          <w:numId w:val="6"/>
        </w:numPr>
        <w:spacing w:before="0" w:after="0" w:line="360" w:lineRule="auto"/>
        <w:ind w:left="0"/>
        <w:rPr>
          <w:sz w:val="26"/>
          <w:szCs w:val="26"/>
          <w:lang w:val="es-ES_tradnl"/>
        </w:rPr>
      </w:pPr>
      <w:r w:rsidRPr="00F715E7">
        <w:rPr>
          <w:sz w:val="26"/>
          <w:szCs w:val="26"/>
          <w:lang w:val="es-ES_tradnl"/>
        </w:rPr>
        <w:lastRenderedPageBreak/>
        <w:t xml:space="preserve">Atento a lo anterior, se presume la legitimación del signante de la demanda, </w:t>
      </w:r>
      <w:r w:rsidRPr="00F715E7">
        <w:rPr>
          <w:bCs/>
          <w:sz w:val="26"/>
          <w:szCs w:val="26"/>
        </w:rPr>
        <w:t>de conformidad con la última parte del primer párrafo del artículo 11 de la Ley Reglamentaria</w:t>
      </w:r>
      <w:r w:rsidRPr="00F715E7">
        <w:rPr>
          <w:rStyle w:val="Refdenotaalpie"/>
          <w:bCs/>
          <w:szCs w:val="26"/>
        </w:rPr>
        <w:footnoteReference w:id="13"/>
      </w:r>
      <w:r w:rsidRPr="00F715E7">
        <w:rPr>
          <w:bCs/>
          <w:sz w:val="26"/>
          <w:szCs w:val="26"/>
        </w:rPr>
        <w:t xml:space="preserve"> porque</w:t>
      </w:r>
      <w:r w:rsidR="001A57DA" w:rsidRPr="00F715E7">
        <w:rPr>
          <w:bCs/>
          <w:sz w:val="26"/>
          <w:szCs w:val="26"/>
        </w:rPr>
        <w:t>,</w:t>
      </w:r>
      <w:r w:rsidRPr="00F715E7">
        <w:rPr>
          <w:bCs/>
          <w:sz w:val="26"/>
          <w:szCs w:val="26"/>
        </w:rPr>
        <w:t xml:space="preserve"> </w:t>
      </w:r>
      <w:r w:rsidR="00DF74D8" w:rsidRPr="00F715E7">
        <w:rPr>
          <w:bCs/>
          <w:sz w:val="26"/>
          <w:szCs w:val="26"/>
        </w:rPr>
        <w:t xml:space="preserve">de acuerdo con la certificación hecha el once de febrero de dos mil veintidós por la Directora del Secretariado del Instituto Nacional Electoral, se advierte que ahí se hizo constar que </w:t>
      </w:r>
      <w:r w:rsidR="00715BC3" w:rsidRPr="00F715E7">
        <w:rPr>
          <w:bCs/>
          <w:sz w:val="26"/>
          <w:szCs w:val="26"/>
        </w:rPr>
        <w:t>como parte de</w:t>
      </w:r>
      <w:r w:rsidR="00DF74D8" w:rsidRPr="00F715E7">
        <w:rPr>
          <w:bCs/>
          <w:sz w:val="26"/>
          <w:szCs w:val="26"/>
        </w:rPr>
        <w:t xml:space="preserve"> la integración actual del </w:t>
      </w:r>
      <w:r w:rsidR="00715BC3" w:rsidRPr="00F715E7">
        <w:rPr>
          <w:bCs/>
          <w:sz w:val="26"/>
          <w:szCs w:val="26"/>
        </w:rPr>
        <w:t xml:space="preserve">Comité Ejecutivo Nacional </w:t>
      </w:r>
      <w:r w:rsidR="00DF74D8" w:rsidRPr="00F715E7">
        <w:rPr>
          <w:bCs/>
          <w:sz w:val="26"/>
          <w:szCs w:val="26"/>
        </w:rPr>
        <w:t xml:space="preserve">del Partido Verde Ecologista de México se </w:t>
      </w:r>
      <w:r w:rsidR="00715BC3" w:rsidRPr="00F715E7">
        <w:rPr>
          <w:bCs/>
          <w:sz w:val="26"/>
          <w:szCs w:val="26"/>
        </w:rPr>
        <w:t>encuentran</w:t>
      </w:r>
      <w:r w:rsidR="00DF74D8" w:rsidRPr="00F715E7">
        <w:rPr>
          <w:bCs/>
          <w:sz w:val="26"/>
          <w:szCs w:val="26"/>
        </w:rPr>
        <w:t xml:space="preserve"> Pilar Guerrero Rubio</w:t>
      </w:r>
      <w:r w:rsidR="00715BC3" w:rsidRPr="00F715E7">
        <w:rPr>
          <w:bCs/>
          <w:sz w:val="26"/>
          <w:szCs w:val="26"/>
        </w:rPr>
        <w:t>, quien funge como</w:t>
      </w:r>
      <w:r w:rsidR="00DF74D8" w:rsidRPr="00F715E7">
        <w:rPr>
          <w:bCs/>
          <w:sz w:val="26"/>
          <w:szCs w:val="26"/>
        </w:rPr>
        <w:t xml:space="preserve"> Secretaria Ejecutiva</w:t>
      </w:r>
      <w:r w:rsidR="00715BC3" w:rsidRPr="00F715E7">
        <w:rPr>
          <w:bCs/>
          <w:sz w:val="26"/>
          <w:szCs w:val="26"/>
        </w:rPr>
        <w:t>,</w:t>
      </w:r>
      <w:r w:rsidR="00DF74D8" w:rsidRPr="00F715E7">
        <w:rPr>
          <w:bCs/>
          <w:sz w:val="26"/>
          <w:szCs w:val="26"/>
        </w:rPr>
        <w:t xml:space="preserve"> y Gabriela Aguilar García, </w:t>
      </w:r>
      <w:r w:rsidR="00715BC3" w:rsidRPr="00F715E7">
        <w:rPr>
          <w:bCs/>
          <w:sz w:val="26"/>
          <w:szCs w:val="26"/>
        </w:rPr>
        <w:t xml:space="preserve">como </w:t>
      </w:r>
      <w:r w:rsidR="00DF74D8" w:rsidRPr="00F715E7">
        <w:rPr>
          <w:bCs/>
          <w:sz w:val="26"/>
          <w:szCs w:val="26"/>
        </w:rPr>
        <w:t>Secretaria Técnica.</w:t>
      </w:r>
      <w:r w:rsidR="00F70DF8" w:rsidRPr="00F715E7">
        <w:rPr>
          <w:rStyle w:val="Refdenotaalpie"/>
          <w:bCs/>
          <w:sz w:val="26"/>
          <w:szCs w:val="26"/>
        </w:rPr>
        <w:footnoteReference w:id="14"/>
      </w:r>
    </w:p>
    <w:p w14:paraId="76454868" w14:textId="77777777" w:rsidR="00B645B3" w:rsidRPr="00F715E7" w:rsidRDefault="00B645B3" w:rsidP="0098787A">
      <w:pPr>
        <w:pStyle w:val="Prrafodelista"/>
        <w:spacing w:before="0" w:after="0" w:line="360" w:lineRule="auto"/>
        <w:ind w:left="0"/>
        <w:rPr>
          <w:sz w:val="26"/>
          <w:szCs w:val="26"/>
          <w:lang w:val="es-ES_tradnl"/>
        </w:rPr>
      </w:pPr>
    </w:p>
    <w:p w14:paraId="272740CF" w14:textId="5A5CACFF" w:rsidR="00B645B3" w:rsidRPr="00F715E7" w:rsidRDefault="00B645B3" w:rsidP="0098787A">
      <w:pPr>
        <w:pStyle w:val="Prrafodelista"/>
        <w:numPr>
          <w:ilvl w:val="0"/>
          <w:numId w:val="6"/>
        </w:numPr>
        <w:spacing w:before="0" w:after="0" w:line="360" w:lineRule="auto"/>
        <w:ind w:left="0"/>
        <w:rPr>
          <w:sz w:val="26"/>
          <w:szCs w:val="26"/>
          <w:lang w:val="es-ES_tradnl"/>
        </w:rPr>
      </w:pPr>
      <w:r w:rsidRPr="00F715E7">
        <w:rPr>
          <w:bCs/>
          <w:sz w:val="26"/>
          <w:szCs w:val="26"/>
        </w:rPr>
        <w:t>Al respecto,</w:t>
      </w:r>
      <w:r w:rsidR="00715BC3" w:rsidRPr="00F715E7">
        <w:rPr>
          <w:bCs/>
          <w:sz w:val="26"/>
          <w:szCs w:val="26"/>
        </w:rPr>
        <w:t xml:space="preserve"> debe decirse que de acuerdo con los artículos 19, primer párrafo, y 22, fracción I, inciso g), </w:t>
      </w:r>
      <w:proofErr w:type="spellStart"/>
      <w:r w:rsidR="00715BC3" w:rsidRPr="00F715E7">
        <w:rPr>
          <w:bCs/>
          <w:sz w:val="26"/>
          <w:szCs w:val="26"/>
        </w:rPr>
        <w:t>subinciso</w:t>
      </w:r>
      <w:proofErr w:type="spellEnd"/>
      <w:r w:rsidR="00715BC3" w:rsidRPr="00F715E7">
        <w:rPr>
          <w:bCs/>
          <w:sz w:val="26"/>
          <w:szCs w:val="26"/>
        </w:rPr>
        <w:t xml:space="preserve"> 4, del Estatuto del Partido de Verde Ecologista de México,</w:t>
      </w:r>
      <w:r w:rsidR="00715BC3" w:rsidRPr="00F715E7">
        <w:rPr>
          <w:rStyle w:val="Refdenotaalpie"/>
          <w:bCs/>
          <w:szCs w:val="26"/>
        </w:rPr>
        <w:footnoteReference w:id="15"/>
      </w:r>
      <w:r w:rsidR="00715BC3" w:rsidRPr="00F715E7">
        <w:rPr>
          <w:bCs/>
          <w:sz w:val="26"/>
          <w:szCs w:val="26"/>
        </w:rPr>
        <w:t xml:space="preserve"> la dirección de ese partido está a cargo del Comité Ejecutivo Nacional y su representación legal la tienen mancomunadamente el Secretario Técnico y el Secretario Ejecutivo del Comité Ejecutivo Nacional, quienes tienen la posibilidad de otorgar poderes generales o especiales.</w:t>
      </w:r>
    </w:p>
    <w:p w14:paraId="47823FAD" w14:textId="77777777" w:rsidR="00E57B38" w:rsidRPr="00F715E7" w:rsidRDefault="00E57B38" w:rsidP="00E57B38">
      <w:pPr>
        <w:pStyle w:val="Prrafodelista"/>
        <w:spacing w:before="0" w:after="0" w:line="360" w:lineRule="auto"/>
        <w:ind w:left="0"/>
        <w:rPr>
          <w:sz w:val="26"/>
          <w:szCs w:val="26"/>
          <w:lang w:val="es-ES_tradnl"/>
        </w:rPr>
      </w:pPr>
    </w:p>
    <w:p w14:paraId="15560D32" w14:textId="77777777" w:rsidR="00E57B38" w:rsidRPr="00F715E7" w:rsidRDefault="00E57B38" w:rsidP="00E57B38">
      <w:pPr>
        <w:pStyle w:val="Prrafodelista"/>
        <w:numPr>
          <w:ilvl w:val="0"/>
          <w:numId w:val="6"/>
        </w:numPr>
        <w:spacing w:before="0" w:after="0" w:line="360" w:lineRule="auto"/>
        <w:ind w:left="0"/>
        <w:rPr>
          <w:bCs/>
          <w:sz w:val="26"/>
          <w:szCs w:val="26"/>
        </w:rPr>
      </w:pPr>
      <w:r w:rsidRPr="00F715E7">
        <w:rPr>
          <w:bCs/>
          <w:sz w:val="26"/>
          <w:szCs w:val="26"/>
        </w:rPr>
        <w:t>Lo anterior, ya que el último párrafo del artículo 62 de la Ley Reglamentaria remite a los dos primeros párrafos del artículo 11 del mismo ordenamiento para determinar la legitimación procesal de los partidos políticos,</w:t>
      </w:r>
      <w:r w:rsidRPr="00F715E7">
        <w:rPr>
          <w:sz w:val="26"/>
          <w:vertAlign w:val="superscript"/>
        </w:rPr>
        <w:footnoteReference w:id="16"/>
      </w:r>
      <w:r w:rsidRPr="00F715E7">
        <w:rPr>
          <w:bCs/>
          <w:sz w:val="26"/>
          <w:szCs w:val="26"/>
        </w:rPr>
        <w:t xml:space="preserve"> cuya interpretación se debe realizar de forma flexible para no convertir las normas legales en obstáculos para acceder a la justicia, aplicando por analogía el criterio del Pleno contenido en la tesis P./J. 52/2003, de rubro “CONTROVERSIA CONSTITUCIONAL. EL ARTÍCULO 11 DE LA LEY REGLAMENTARIA DE LAS FRACCIONES I Y II DEL ARTÍCULO 105 DE LA CONSTITUCIÓN POLÍTICA DE LOS ESTADOS UNIDOS MEXICANOS, QUE REGULA LA LEGITIMACIÓN PROCESAL ACTIVA, ADMITE INTERPRETACIÓN FLEXIBLE.”</w:t>
      </w:r>
      <w:r w:rsidRPr="00F715E7">
        <w:rPr>
          <w:sz w:val="26"/>
          <w:vertAlign w:val="superscript"/>
        </w:rPr>
        <w:footnoteReference w:id="17"/>
      </w:r>
      <w:r w:rsidRPr="00F715E7">
        <w:rPr>
          <w:bCs/>
          <w:sz w:val="26"/>
          <w:szCs w:val="26"/>
          <w:vertAlign w:val="superscript"/>
        </w:rPr>
        <w:t>.</w:t>
      </w:r>
    </w:p>
    <w:p w14:paraId="2057E34B" w14:textId="77777777" w:rsidR="00B645B3" w:rsidRPr="00F715E7" w:rsidRDefault="00B645B3" w:rsidP="00E57B38">
      <w:pPr>
        <w:pStyle w:val="Prrafodelista"/>
        <w:spacing w:before="0" w:after="0" w:line="360" w:lineRule="auto"/>
        <w:ind w:left="0"/>
        <w:rPr>
          <w:sz w:val="26"/>
          <w:szCs w:val="26"/>
          <w:lang w:val="es-ES_tradnl"/>
        </w:rPr>
      </w:pPr>
    </w:p>
    <w:p w14:paraId="467CBB23" w14:textId="3BFAB57D" w:rsidR="0089224C" w:rsidRPr="00F715E7" w:rsidRDefault="00DD2816" w:rsidP="0098787A">
      <w:pPr>
        <w:pStyle w:val="Prrafodelista"/>
        <w:numPr>
          <w:ilvl w:val="0"/>
          <w:numId w:val="6"/>
        </w:numPr>
        <w:spacing w:before="0" w:after="0" w:line="360" w:lineRule="auto"/>
        <w:ind w:left="0"/>
        <w:rPr>
          <w:sz w:val="26"/>
          <w:szCs w:val="26"/>
          <w:lang w:val="es-ES_tradnl"/>
        </w:rPr>
      </w:pPr>
      <w:r w:rsidRPr="00F715E7">
        <w:rPr>
          <w:sz w:val="26"/>
          <w:szCs w:val="26"/>
          <w:lang w:val="es-ES_tradnl"/>
        </w:rPr>
        <w:t>Por lo</w:t>
      </w:r>
      <w:r w:rsidR="0089224C" w:rsidRPr="00F715E7">
        <w:rPr>
          <w:sz w:val="26"/>
          <w:szCs w:val="26"/>
          <w:lang w:val="es-ES_tradnl"/>
        </w:rPr>
        <w:t xml:space="preserve"> que corresponde al </w:t>
      </w:r>
      <w:r w:rsidR="0089224C" w:rsidRPr="00F715E7">
        <w:rPr>
          <w:b/>
          <w:bCs/>
          <w:sz w:val="26"/>
          <w:szCs w:val="26"/>
          <w:lang w:val="es-ES_tradnl"/>
        </w:rPr>
        <w:t>Partido de la Revolución Democrática</w:t>
      </w:r>
      <w:r w:rsidR="0089224C" w:rsidRPr="00F715E7">
        <w:rPr>
          <w:sz w:val="26"/>
          <w:szCs w:val="26"/>
          <w:lang w:val="es-ES_tradnl"/>
        </w:rPr>
        <w:t>, el escrito de demanda fue presentado por José de Jesús Zambrano Grijalva</w:t>
      </w:r>
      <w:r w:rsidR="00106D18" w:rsidRPr="00F715E7">
        <w:rPr>
          <w:sz w:val="26"/>
          <w:szCs w:val="26"/>
          <w:lang w:val="es-ES_tradnl"/>
        </w:rPr>
        <w:t>,</w:t>
      </w:r>
      <w:r w:rsidR="0089224C" w:rsidRPr="00F715E7">
        <w:rPr>
          <w:sz w:val="26"/>
          <w:szCs w:val="26"/>
          <w:lang w:val="es-ES_tradnl"/>
        </w:rPr>
        <w:t xml:space="preserve"> en su carácter de Presidente de la Dirección </w:t>
      </w:r>
      <w:r w:rsidR="00A00E19" w:rsidRPr="00F715E7">
        <w:rPr>
          <w:sz w:val="26"/>
          <w:szCs w:val="26"/>
          <w:lang w:val="es-ES_tradnl"/>
        </w:rPr>
        <w:t xml:space="preserve">Nacional </w:t>
      </w:r>
      <w:r w:rsidR="0089224C" w:rsidRPr="00F715E7">
        <w:rPr>
          <w:sz w:val="26"/>
          <w:szCs w:val="26"/>
          <w:lang w:val="es-ES_tradnl"/>
        </w:rPr>
        <w:t>Ejecutiva del Partido de la Revolución Democrática</w:t>
      </w:r>
      <w:r w:rsidR="00106D18" w:rsidRPr="00F715E7">
        <w:rPr>
          <w:sz w:val="26"/>
          <w:szCs w:val="26"/>
          <w:lang w:val="es-ES_tradnl"/>
        </w:rPr>
        <w:t xml:space="preserve">, </w:t>
      </w:r>
      <w:r w:rsidR="00E34907" w:rsidRPr="00F715E7">
        <w:rPr>
          <w:sz w:val="26"/>
          <w:szCs w:val="26"/>
          <w:lang w:val="es-ES_tradnl"/>
        </w:rPr>
        <w:t xml:space="preserve">y este último cuenta con el registro ante la autoridad </w:t>
      </w:r>
      <w:r w:rsidR="005360D7" w:rsidRPr="00F715E7">
        <w:rPr>
          <w:sz w:val="26"/>
          <w:szCs w:val="26"/>
          <w:lang w:val="es-ES_tradnl"/>
        </w:rPr>
        <w:t>electoral</w:t>
      </w:r>
      <w:r w:rsidR="00E34907" w:rsidRPr="00F715E7">
        <w:rPr>
          <w:sz w:val="26"/>
          <w:szCs w:val="26"/>
          <w:lang w:val="es-ES_tradnl"/>
        </w:rPr>
        <w:t xml:space="preserve"> </w:t>
      </w:r>
      <w:r w:rsidR="00106D18" w:rsidRPr="00F715E7">
        <w:rPr>
          <w:sz w:val="26"/>
          <w:szCs w:val="26"/>
          <w:lang w:val="es-ES_tradnl"/>
        </w:rPr>
        <w:t xml:space="preserve">lo que así se advierte en el oficio INE/DJ/1540/2022, signado por el </w:t>
      </w:r>
      <w:r w:rsidR="00106D18" w:rsidRPr="00F715E7">
        <w:rPr>
          <w:sz w:val="26"/>
          <w:szCs w:val="26"/>
          <w:lang w:val="es-ES_tradnl"/>
        </w:rPr>
        <w:lastRenderedPageBreak/>
        <w:t xml:space="preserve">Director Jurídico del Instituto Nacional Electoral y el contenido del artículo </w:t>
      </w:r>
      <w:r w:rsidR="00A00E19" w:rsidRPr="00F715E7">
        <w:rPr>
          <w:sz w:val="26"/>
          <w:szCs w:val="26"/>
          <w:lang w:val="es-ES_tradnl"/>
        </w:rPr>
        <w:t>39</w:t>
      </w:r>
      <w:r w:rsidR="00106D18" w:rsidRPr="00F715E7">
        <w:rPr>
          <w:sz w:val="26"/>
          <w:szCs w:val="26"/>
          <w:lang w:val="es-ES_tradnl"/>
        </w:rPr>
        <w:t xml:space="preserve">, </w:t>
      </w:r>
      <w:r w:rsidR="00A00E19" w:rsidRPr="00F715E7">
        <w:rPr>
          <w:sz w:val="26"/>
          <w:szCs w:val="26"/>
          <w:lang w:val="es-ES_tradnl"/>
        </w:rPr>
        <w:t>apartado B, fracciones IV y V,</w:t>
      </w:r>
      <w:r w:rsidR="00106D18" w:rsidRPr="00F715E7">
        <w:rPr>
          <w:sz w:val="26"/>
          <w:szCs w:val="26"/>
          <w:lang w:val="es-ES_tradnl"/>
        </w:rPr>
        <w:t xml:space="preserve"> del Estatuto del Partido Político de la Revolución Democrática.</w:t>
      </w:r>
      <w:r w:rsidR="00A00E19" w:rsidRPr="00F715E7">
        <w:rPr>
          <w:rStyle w:val="Refdenotaalpie"/>
          <w:sz w:val="26"/>
          <w:szCs w:val="26"/>
          <w:lang w:val="es-ES_tradnl"/>
        </w:rPr>
        <w:footnoteReference w:id="18"/>
      </w:r>
    </w:p>
    <w:p w14:paraId="41B0FCDB" w14:textId="77777777" w:rsidR="004E2477" w:rsidRPr="00F715E7" w:rsidRDefault="004E2477" w:rsidP="0098787A">
      <w:pPr>
        <w:pStyle w:val="Prrafodelista"/>
        <w:spacing w:before="0" w:after="0" w:line="360" w:lineRule="auto"/>
        <w:ind w:left="0"/>
        <w:rPr>
          <w:sz w:val="26"/>
          <w:szCs w:val="26"/>
          <w:lang w:val="es-ES_tradnl"/>
        </w:rPr>
      </w:pPr>
    </w:p>
    <w:p w14:paraId="0B57D91A" w14:textId="2B7EC42D" w:rsidR="008075C6" w:rsidRPr="00F715E7" w:rsidRDefault="00DD2816" w:rsidP="0098787A">
      <w:pPr>
        <w:pStyle w:val="Estilo1"/>
        <w:numPr>
          <w:ilvl w:val="0"/>
          <w:numId w:val="6"/>
        </w:numPr>
        <w:spacing w:before="0" w:after="0"/>
        <w:ind w:left="0"/>
        <w:rPr>
          <w:sz w:val="26"/>
          <w:szCs w:val="26"/>
          <w:lang w:val="es-ES_tradnl"/>
        </w:rPr>
      </w:pPr>
      <w:r w:rsidRPr="00F715E7">
        <w:rPr>
          <w:sz w:val="26"/>
          <w:szCs w:val="26"/>
          <w:lang w:val="es-ES_tradnl"/>
        </w:rPr>
        <w:t>En lo atinente a</w:t>
      </w:r>
      <w:r w:rsidR="003B27E7" w:rsidRPr="00F715E7">
        <w:rPr>
          <w:sz w:val="26"/>
          <w:szCs w:val="26"/>
          <w:lang w:val="es-ES_tradnl"/>
        </w:rPr>
        <w:t xml:space="preserve">l </w:t>
      </w:r>
      <w:r w:rsidR="003B27E7" w:rsidRPr="00F715E7">
        <w:rPr>
          <w:b/>
          <w:bCs/>
          <w:sz w:val="26"/>
          <w:szCs w:val="26"/>
          <w:lang w:val="es-ES_tradnl"/>
        </w:rPr>
        <w:t>Partido Acción Nacional</w:t>
      </w:r>
      <w:r w:rsidR="003B27E7" w:rsidRPr="00F715E7">
        <w:rPr>
          <w:sz w:val="26"/>
          <w:szCs w:val="26"/>
          <w:lang w:val="es-ES_tradnl"/>
        </w:rPr>
        <w:t xml:space="preserve">, el escrito fue presentado por </w:t>
      </w:r>
      <w:proofErr w:type="spellStart"/>
      <w:r w:rsidR="003B27E7" w:rsidRPr="00F715E7">
        <w:rPr>
          <w:sz w:val="26"/>
          <w:szCs w:val="26"/>
          <w:lang w:val="es-ES_tradnl"/>
        </w:rPr>
        <w:t>Marko</w:t>
      </w:r>
      <w:proofErr w:type="spellEnd"/>
      <w:r w:rsidR="003B27E7" w:rsidRPr="00F715E7">
        <w:rPr>
          <w:sz w:val="26"/>
          <w:szCs w:val="26"/>
          <w:lang w:val="es-ES_tradnl"/>
        </w:rPr>
        <w:t xml:space="preserve"> Antonio Cortés Mendoza en su carácter de Presidente del Comité Ejecutivo del referido partido político</w:t>
      </w:r>
      <w:r w:rsidR="00D14257" w:rsidRPr="00F715E7">
        <w:rPr>
          <w:sz w:val="26"/>
          <w:szCs w:val="26"/>
          <w:lang w:val="es-ES_tradnl"/>
        </w:rPr>
        <w:t>,</w:t>
      </w:r>
      <w:r w:rsidR="005360D7" w:rsidRPr="00F715E7">
        <w:rPr>
          <w:sz w:val="26"/>
          <w:szCs w:val="26"/>
          <w:lang w:val="es-ES_tradnl"/>
        </w:rPr>
        <w:t xml:space="preserve"> que se encuentra registrado ante la autoridad electoral,</w:t>
      </w:r>
      <w:r w:rsidR="00D14257" w:rsidRPr="00F715E7">
        <w:rPr>
          <w:sz w:val="26"/>
          <w:szCs w:val="26"/>
          <w:lang w:val="es-ES_tradnl"/>
        </w:rPr>
        <w:t xml:space="preserve"> lo que es corroborado por el oficio INE/DJ/1746/2022, signado por el Director Jurídico del Instituto Nacional Electoral y lo establecido en el artículo 57, inciso a), de los Estatutos Generales del Partido Acción Nacional.</w:t>
      </w:r>
      <w:r w:rsidR="00D14257" w:rsidRPr="00F715E7">
        <w:rPr>
          <w:rStyle w:val="Refdenotaalpie"/>
          <w:sz w:val="26"/>
          <w:szCs w:val="26"/>
          <w:lang w:val="es-ES_tradnl"/>
        </w:rPr>
        <w:footnoteReference w:id="19"/>
      </w:r>
    </w:p>
    <w:p w14:paraId="3938B02A" w14:textId="77777777" w:rsidR="004E2477" w:rsidRPr="00F715E7" w:rsidRDefault="004E2477" w:rsidP="0098787A">
      <w:pPr>
        <w:pStyle w:val="Estilo1"/>
        <w:numPr>
          <w:ilvl w:val="0"/>
          <w:numId w:val="0"/>
        </w:numPr>
        <w:spacing w:before="0" w:after="0"/>
        <w:rPr>
          <w:sz w:val="26"/>
          <w:szCs w:val="26"/>
          <w:lang w:val="es-ES_tradnl"/>
        </w:rPr>
      </w:pPr>
    </w:p>
    <w:p w14:paraId="7D7306BD" w14:textId="17FD438B" w:rsidR="00C46A77" w:rsidRPr="00F715E7" w:rsidRDefault="00C46A77" w:rsidP="0098787A">
      <w:pPr>
        <w:pStyle w:val="Prrafodelista"/>
        <w:numPr>
          <w:ilvl w:val="0"/>
          <w:numId w:val="6"/>
        </w:numPr>
        <w:spacing w:before="0" w:after="0" w:line="360" w:lineRule="auto"/>
        <w:ind w:left="0"/>
        <w:rPr>
          <w:sz w:val="26"/>
          <w:szCs w:val="26"/>
          <w:lang w:val="es-ES_tradnl"/>
        </w:rPr>
      </w:pPr>
      <w:r w:rsidRPr="00F715E7">
        <w:rPr>
          <w:sz w:val="26"/>
          <w:szCs w:val="26"/>
          <w:lang w:val="es-ES_tradnl"/>
        </w:rPr>
        <w:t xml:space="preserve">Por lo que se refiere al </w:t>
      </w:r>
      <w:r w:rsidRPr="00F715E7">
        <w:rPr>
          <w:b/>
          <w:bCs/>
          <w:sz w:val="26"/>
          <w:szCs w:val="26"/>
          <w:lang w:val="es-ES_tradnl"/>
        </w:rPr>
        <w:t>Partido Revolucionario Institucional,</w:t>
      </w:r>
      <w:r w:rsidRPr="00F715E7">
        <w:rPr>
          <w:sz w:val="26"/>
          <w:szCs w:val="26"/>
          <w:lang w:val="es-ES_tradnl"/>
        </w:rPr>
        <w:t xml:space="preserve"> el escrito de demanda fue presentado electrónicamente por Rafael Alejandro Moreno Cárdenas, en su carácter de Presidente del Comité Ejecutivo de dicha asociación</w:t>
      </w:r>
      <w:r w:rsidR="005360D7" w:rsidRPr="00F715E7">
        <w:rPr>
          <w:sz w:val="26"/>
          <w:szCs w:val="26"/>
          <w:lang w:val="es-ES_tradnl"/>
        </w:rPr>
        <w:t xml:space="preserve"> registrada ante la autoridad electoral</w:t>
      </w:r>
      <w:r w:rsidRPr="00F715E7">
        <w:rPr>
          <w:sz w:val="26"/>
          <w:szCs w:val="26"/>
          <w:lang w:val="es-ES_tradnl"/>
        </w:rPr>
        <w:t xml:space="preserve">, lo que es referido en el oficio INE/DJ/1746/2022, signado por el Director Jurídico del Instituto </w:t>
      </w:r>
      <w:r w:rsidRPr="00F715E7">
        <w:rPr>
          <w:sz w:val="26"/>
          <w:szCs w:val="26"/>
          <w:lang w:val="es-ES_tradnl"/>
        </w:rPr>
        <w:lastRenderedPageBreak/>
        <w:t xml:space="preserve">Nacional Electoral, y lo establecido en el artículo </w:t>
      </w:r>
      <w:r w:rsidR="00304298" w:rsidRPr="00F715E7">
        <w:rPr>
          <w:sz w:val="26"/>
          <w:szCs w:val="26"/>
          <w:lang w:val="es-ES_tradnl"/>
        </w:rPr>
        <w:t>89</w:t>
      </w:r>
      <w:r w:rsidRPr="00F715E7">
        <w:rPr>
          <w:sz w:val="26"/>
          <w:szCs w:val="26"/>
          <w:lang w:val="es-ES_tradnl"/>
        </w:rPr>
        <w:t xml:space="preserve">, </w:t>
      </w:r>
      <w:r w:rsidR="00304298" w:rsidRPr="00F715E7">
        <w:rPr>
          <w:sz w:val="26"/>
          <w:szCs w:val="26"/>
          <w:lang w:val="es-ES_tradnl"/>
        </w:rPr>
        <w:t>fracción XIII,</w:t>
      </w:r>
      <w:r w:rsidRPr="00F715E7">
        <w:rPr>
          <w:sz w:val="26"/>
          <w:szCs w:val="26"/>
          <w:lang w:val="es-ES_tradnl"/>
        </w:rPr>
        <w:t xml:space="preserve"> del Estatuto del Partido Revolucionario Institucional.</w:t>
      </w:r>
      <w:r w:rsidRPr="00F715E7">
        <w:rPr>
          <w:rStyle w:val="Refdenotaalpie"/>
          <w:sz w:val="26"/>
          <w:szCs w:val="26"/>
          <w:lang w:val="es-ES_tradnl"/>
        </w:rPr>
        <w:footnoteReference w:id="20"/>
      </w:r>
    </w:p>
    <w:p w14:paraId="6A14F633" w14:textId="77777777" w:rsidR="00BA1A4C" w:rsidRPr="00F715E7" w:rsidRDefault="00BA1A4C" w:rsidP="001E1EF8">
      <w:pPr>
        <w:pStyle w:val="Prrafodelista"/>
        <w:spacing w:before="0" w:after="0" w:line="360" w:lineRule="auto"/>
        <w:ind w:left="0"/>
        <w:rPr>
          <w:sz w:val="26"/>
          <w:szCs w:val="26"/>
          <w:lang w:val="es-ES_tradnl"/>
        </w:rPr>
      </w:pPr>
    </w:p>
    <w:p w14:paraId="1A1D3ADF" w14:textId="0D9C6F95" w:rsidR="00BA1A4C" w:rsidRPr="00F715E7" w:rsidRDefault="00B03C58" w:rsidP="0098787A">
      <w:pPr>
        <w:pStyle w:val="Estilo1"/>
        <w:numPr>
          <w:ilvl w:val="0"/>
          <w:numId w:val="6"/>
        </w:numPr>
        <w:spacing w:before="0" w:after="0"/>
        <w:ind w:left="0"/>
        <w:rPr>
          <w:sz w:val="26"/>
          <w:szCs w:val="26"/>
          <w:lang w:val="es-ES_tradnl"/>
        </w:rPr>
      </w:pPr>
      <w:r w:rsidRPr="00F715E7">
        <w:rPr>
          <w:sz w:val="26"/>
          <w:szCs w:val="26"/>
          <w:lang w:val="es-ES_tradnl"/>
        </w:rPr>
        <w:t xml:space="preserve">En </w:t>
      </w:r>
      <w:r w:rsidR="005360D7" w:rsidRPr="00F715E7">
        <w:rPr>
          <w:sz w:val="26"/>
          <w:szCs w:val="26"/>
          <w:lang w:val="es-ES_tradnl"/>
        </w:rPr>
        <w:t>suma</w:t>
      </w:r>
      <w:r w:rsidRPr="00F715E7">
        <w:rPr>
          <w:sz w:val="26"/>
          <w:szCs w:val="26"/>
          <w:lang w:val="es-ES_tradnl"/>
        </w:rPr>
        <w:t xml:space="preserve">, </w:t>
      </w:r>
      <w:r w:rsidR="00BA1A4C" w:rsidRPr="00F715E7">
        <w:rPr>
          <w:sz w:val="26"/>
          <w:szCs w:val="26"/>
          <w:lang w:val="es-ES_tradnl"/>
        </w:rPr>
        <w:t>de lo anterior se concluye que las partes accionantes</w:t>
      </w:r>
      <w:r w:rsidRPr="00F715E7">
        <w:rPr>
          <w:sz w:val="26"/>
          <w:szCs w:val="26"/>
          <w:lang w:val="es-ES_tradnl"/>
        </w:rPr>
        <w:t xml:space="preserve"> cuentan con las atribuciones</w:t>
      </w:r>
      <w:r w:rsidR="00897B67" w:rsidRPr="00F715E7">
        <w:rPr>
          <w:sz w:val="26"/>
          <w:szCs w:val="26"/>
          <w:lang w:val="es-ES_tradnl"/>
        </w:rPr>
        <w:t xml:space="preserve"> representativas</w:t>
      </w:r>
      <w:r w:rsidRPr="00F715E7">
        <w:rPr>
          <w:sz w:val="26"/>
          <w:szCs w:val="26"/>
          <w:lang w:val="es-ES_tradnl"/>
        </w:rPr>
        <w:t xml:space="preserve"> con las que se ostenta</w:t>
      </w:r>
      <w:r w:rsidR="005B6532" w:rsidRPr="00F715E7">
        <w:rPr>
          <w:sz w:val="26"/>
          <w:szCs w:val="26"/>
          <w:lang w:val="es-ES_tradnl"/>
        </w:rPr>
        <w:t>ron</w:t>
      </w:r>
      <w:r w:rsidRPr="00F715E7">
        <w:rPr>
          <w:sz w:val="26"/>
          <w:szCs w:val="26"/>
          <w:lang w:val="es-ES_tradnl"/>
        </w:rPr>
        <w:t xml:space="preserve"> y que las organizaciones en nombre de las cuales promovieron acción de inconstitucionalidad</w:t>
      </w:r>
      <w:r w:rsidR="00897B67" w:rsidRPr="00F715E7">
        <w:rPr>
          <w:sz w:val="26"/>
          <w:szCs w:val="26"/>
          <w:lang w:val="es-ES_tradnl"/>
        </w:rPr>
        <w:t xml:space="preserve"> en contra de una norma de carácter electoral</w:t>
      </w:r>
      <w:r w:rsidR="00BA1A4C" w:rsidRPr="00F715E7">
        <w:rPr>
          <w:sz w:val="26"/>
          <w:szCs w:val="26"/>
          <w:lang w:val="es-ES_tradnl"/>
        </w:rPr>
        <w:t>,</w:t>
      </w:r>
      <w:r w:rsidRPr="00F715E7">
        <w:rPr>
          <w:sz w:val="26"/>
          <w:szCs w:val="26"/>
          <w:lang w:val="es-ES_tradnl"/>
        </w:rPr>
        <w:t xml:space="preserve"> se encuentran registradas como </w:t>
      </w:r>
      <w:r w:rsidR="00897B67" w:rsidRPr="00F715E7">
        <w:rPr>
          <w:sz w:val="26"/>
          <w:szCs w:val="26"/>
          <w:lang w:val="es-ES_tradnl"/>
        </w:rPr>
        <w:t>partidos políticos nacionales</w:t>
      </w:r>
      <w:r w:rsidRPr="00F715E7">
        <w:rPr>
          <w:sz w:val="26"/>
          <w:szCs w:val="26"/>
          <w:lang w:val="es-ES_tradnl"/>
        </w:rPr>
        <w:t xml:space="preserve">. </w:t>
      </w:r>
    </w:p>
    <w:p w14:paraId="69958D85" w14:textId="77777777" w:rsidR="00BA1A4C" w:rsidRPr="00F715E7" w:rsidRDefault="00BA1A4C" w:rsidP="001E1EF8">
      <w:pPr>
        <w:pStyle w:val="Estilo1"/>
        <w:numPr>
          <w:ilvl w:val="0"/>
          <w:numId w:val="0"/>
        </w:numPr>
        <w:spacing w:before="0" w:after="0"/>
        <w:rPr>
          <w:sz w:val="26"/>
          <w:szCs w:val="26"/>
          <w:lang w:val="es-ES_tradnl"/>
        </w:rPr>
      </w:pPr>
    </w:p>
    <w:p w14:paraId="76391A47" w14:textId="068A826E" w:rsidR="00E06E72" w:rsidRPr="00F715E7" w:rsidRDefault="00BA1A4C" w:rsidP="00E06E72">
      <w:pPr>
        <w:pStyle w:val="Estilo1"/>
        <w:numPr>
          <w:ilvl w:val="0"/>
          <w:numId w:val="6"/>
        </w:numPr>
        <w:spacing w:before="0" w:after="0"/>
        <w:ind w:left="0"/>
        <w:rPr>
          <w:sz w:val="26"/>
          <w:szCs w:val="26"/>
          <w:lang w:val="es-ES_tradnl"/>
        </w:rPr>
      </w:pPr>
      <w:r w:rsidRPr="00F715E7">
        <w:rPr>
          <w:sz w:val="26"/>
          <w:szCs w:val="26"/>
          <w:lang w:val="es-ES_tradnl"/>
        </w:rPr>
        <w:t>Tomando en cuenta lo anterior</w:t>
      </w:r>
      <w:r w:rsidR="00B03C58" w:rsidRPr="00F715E7">
        <w:rPr>
          <w:sz w:val="26"/>
          <w:szCs w:val="26"/>
          <w:lang w:val="es-ES_tradnl"/>
        </w:rPr>
        <w:t xml:space="preserve">, este Tribunal Pleno concluye que </w:t>
      </w:r>
      <w:r w:rsidRPr="00F715E7">
        <w:rPr>
          <w:sz w:val="26"/>
          <w:szCs w:val="26"/>
          <w:lang w:val="es-ES_tradnl"/>
        </w:rPr>
        <w:t>las A</w:t>
      </w:r>
      <w:r w:rsidR="00B03C58" w:rsidRPr="00F715E7">
        <w:rPr>
          <w:sz w:val="26"/>
          <w:szCs w:val="26"/>
          <w:lang w:val="es-ES_tradnl"/>
        </w:rPr>
        <w:t xml:space="preserve">cciones de </w:t>
      </w:r>
      <w:r w:rsidRPr="00F715E7">
        <w:rPr>
          <w:sz w:val="26"/>
          <w:szCs w:val="26"/>
          <w:lang w:val="es-ES_tradnl"/>
        </w:rPr>
        <w:t>I</w:t>
      </w:r>
      <w:r w:rsidR="00B03C58" w:rsidRPr="00F715E7">
        <w:rPr>
          <w:sz w:val="26"/>
          <w:szCs w:val="26"/>
          <w:lang w:val="es-ES_tradnl"/>
        </w:rPr>
        <w:t>nconstitucionalidad fueron promovidas por parte legitimada para ello</w:t>
      </w:r>
      <w:r w:rsidR="00E06E72" w:rsidRPr="00F715E7">
        <w:rPr>
          <w:sz w:val="26"/>
          <w:szCs w:val="26"/>
          <w:lang w:val="es-ES_tradnl"/>
        </w:rPr>
        <w:t>.</w:t>
      </w:r>
    </w:p>
    <w:p w14:paraId="453CE6B7" w14:textId="77777777" w:rsidR="00E06E72" w:rsidRPr="00F715E7" w:rsidRDefault="00E06E72" w:rsidP="00E06E72">
      <w:pPr>
        <w:pStyle w:val="Estilo1"/>
        <w:numPr>
          <w:ilvl w:val="0"/>
          <w:numId w:val="0"/>
        </w:numPr>
        <w:spacing w:before="0" w:after="0"/>
        <w:rPr>
          <w:sz w:val="26"/>
          <w:szCs w:val="26"/>
        </w:rPr>
      </w:pPr>
    </w:p>
    <w:p w14:paraId="43CBA300" w14:textId="38934B64" w:rsidR="00E06E72" w:rsidRPr="00F715E7" w:rsidRDefault="006E34C1" w:rsidP="006E34C1">
      <w:pPr>
        <w:pStyle w:val="Estilo1"/>
        <w:numPr>
          <w:ilvl w:val="0"/>
          <w:numId w:val="6"/>
        </w:numPr>
        <w:spacing w:before="0" w:after="0"/>
        <w:ind w:left="0"/>
        <w:rPr>
          <w:sz w:val="26"/>
          <w:szCs w:val="26"/>
        </w:rPr>
      </w:pPr>
      <w:r w:rsidRPr="00F715E7">
        <w:rPr>
          <w:sz w:val="26"/>
          <w:szCs w:val="26"/>
        </w:rPr>
        <w:t xml:space="preserve">Las consideraciones respecto de la legitimación de los Partidos Políticos del Trabajo, de la Revolución Democrática, Acción Nacional y Revolucionario Institucional </w:t>
      </w:r>
      <w:r w:rsidR="00E06E72" w:rsidRPr="00F715E7">
        <w:rPr>
          <w:sz w:val="26"/>
          <w:szCs w:val="26"/>
        </w:rPr>
        <w:t>son vinculantes al haberse aprobado por unanimidad de votos.</w:t>
      </w:r>
    </w:p>
    <w:p w14:paraId="3817CA44" w14:textId="77777777" w:rsidR="006E34C1" w:rsidRPr="00F715E7" w:rsidRDefault="006E34C1" w:rsidP="006E34C1">
      <w:pPr>
        <w:pStyle w:val="Estilo1"/>
        <w:numPr>
          <w:ilvl w:val="0"/>
          <w:numId w:val="0"/>
        </w:numPr>
        <w:spacing w:before="0" w:after="0"/>
        <w:rPr>
          <w:sz w:val="26"/>
          <w:szCs w:val="26"/>
        </w:rPr>
      </w:pPr>
    </w:p>
    <w:p w14:paraId="4AB25FF3" w14:textId="08D35C3A" w:rsidR="006E34C1" w:rsidRPr="00F715E7" w:rsidRDefault="006E34C1" w:rsidP="006E34C1">
      <w:pPr>
        <w:pStyle w:val="Estilo1"/>
        <w:numPr>
          <w:ilvl w:val="0"/>
          <w:numId w:val="6"/>
        </w:numPr>
        <w:spacing w:before="0" w:after="0"/>
        <w:ind w:left="0"/>
        <w:rPr>
          <w:sz w:val="26"/>
          <w:szCs w:val="26"/>
        </w:rPr>
      </w:pPr>
      <w:r w:rsidRPr="00F715E7">
        <w:rPr>
          <w:sz w:val="26"/>
          <w:szCs w:val="26"/>
        </w:rPr>
        <w:t>Las consideraciones respecto de la legitimación del Partido Verde Ecologista de México no son vinculantes al haberse aprobado por mayoría de seis votos.</w:t>
      </w:r>
    </w:p>
    <w:p w14:paraId="3B5C3F82" w14:textId="775A6306" w:rsidR="006E34C1" w:rsidRPr="00F715E7" w:rsidRDefault="006E34C1" w:rsidP="0098787A">
      <w:pPr>
        <w:pStyle w:val="Estilo1"/>
        <w:numPr>
          <w:ilvl w:val="0"/>
          <w:numId w:val="0"/>
        </w:numPr>
        <w:spacing w:before="0" w:after="0"/>
        <w:rPr>
          <w:sz w:val="26"/>
          <w:szCs w:val="26"/>
          <w:lang w:val="es-ES_tradnl"/>
        </w:rPr>
      </w:pPr>
    </w:p>
    <w:p w14:paraId="6195D5AA" w14:textId="4C32B798" w:rsidR="00DC3BCD" w:rsidRPr="00F715E7" w:rsidRDefault="00DC3BCD" w:rsidP="0098787A">
      <w:pPr>
        <w:pStyle w:val="Estilo1"/>
        <w:numPr>
          <w:ilvl w:val="0"/>
          <w:numId w:val="0"/>
        </w:numPr>
        <w:spacing w:before="0" w:after="0"/>
        <w:rPr>
          <w:sz w:val="26"/>
          <w:szCs w:val="26"/>
          <w:lang w:val="es-ES_tradnl"/>
        </w:rPr>
      </w:pPr>
    </w:p>
    <w:p w14:paraId="50BA1E15" w14:textId="7D24F55D" w:rsidR="00DC3BCD" w:rsidRPr="00F715E7" w:rsidRDefault="00DC3BCD" w:rsidP="0098787A">
      <w:pPr>
        <w:pStyle w:val="Estilo1"/>
        <w:numPr>
          <w:ilvl w:val="0"/>
          <w:numId w:val="0"/>
        </w:numPr>
        <w:spacing w:before="0" w:after="0"/>
        <w:rPr>
          <w:sz w:val="26"/>
          <w:szCs w:val="26"/>
          <w:lang w:val="es-ES_tradnl"/>
        </w:rPr>
      </w:pPr>
    </w:p>
    <w:p w14:paraId="0DE5F6FC" w14:textId="77777777" w:rsidR="00DC3BCD" w:rsidRPr="00F715E7" w:rsidRDefault="00DC3BCD" w:rsidP="0098787A">
      <w:pPr>
        <w:pStyle w:val="Estilo1"/>
        <w:numPr>
          <w:ilvl w:val="0"/>
          <w:numId w:val="0"/>
        </w:numPr>
        <w:spacing w:before="0" w:after="0"/>
        <w:rPr>
          <w:sz w:val="26"/>
          <w:szCs w:val="26"/>
          <w:lang w:val="es-ES_tradnl"/>
        </w:rPr>
      </w:pPr>
    </w:p>
    <w:p w14:paraId="29934829" w14:textId="779966FC" w:rsidR="00340ABB" w:rsidRPr="00F715E7" w:rsidRDefault="00BA1A4C" w:rsidP="001E1EF8">
      <w:pPr>
        <w:pStyle w:val="Ttulo1"/>
        <w:spacing w:before="0" w:after="0"/>
        <w:ind w:left="0" w:right="51" w:firstLine="0"/>
        <w:rPr>
          <w:sz w:val="26"/>
          <w:szCs w:val="26"/>
        </w:rPr>
      </w:pPr>
      <w:bookmarkStart w:id="18" w:name="_Toc34914763"/>
      <w:bookmarkStart w:id="19" w:name="_Toc69888804"/>
      <w:r w:rsidRPr="00F715E7">
        <w:rPr>
          <w:sz w:val="26"/>
          <w:szCs w:val="26"/>
        </w:rPr>
        <w:lastRenderedPageBreak/>
        <w:t xml:space="preserve"> </w:t>
      </w:r>
      <w:r w:rsidR="00340ABB" w:rsidRPr="00F715E7">
        <w:rPr>
          <w:sz w:val="26"/>
          <w:szCs w:val="26"/>
        </w:rPr>
        <w:t>CAUSAS DE IMPROCEDENCIA Y SOBRESEIMIENTO</w:t>
      </w:r>
      <w:bookmarkEnd w:id="18"/>
      <w:bookmarkEnd w:id="19"/>
      <w:r w:rsidR="00E51A7A">
        <w:rPr>
          <w:sz w:val="26"/>
          <w:szCs w:val="26"/>
        </w:rPr>
        <w:t>.</w:t>
      </w:r>
    </w:p>
    <w:p w14:paraId="47403474" w14:textId="77777777" w:rsidR="00BA1A4C" w:rsidRPr="00F715E7" w:rsidRDefault="00BA1A4C" w:rsidP="001E1EF8">
      <w:pPr>
        <w:pStyle w:val="Estilo1"/>
        <w:numPr>
          <w:ilvl w:val="0"/>
          <w:numId w:val="0"/>
        </w:numPr>
        <w:spacing w:before="0" w:after="0"/>
        <w:rPr>
          <w:sz w:val="26"/>
          <w:szCs w:val="26"/>
          <w:lang w:val="es-ES_tradnl" w:eastAsia="es-MX"/>
        </w:rPr>
      </w:pPr>
    </w:p>
    <w:p w14:paraId="7FD202F6" w14:textId="5710C401" w:rsidR="00D87543" w:rsidRPr="00F715E7" w:rsidRDefault="00D87543" w:rsidP="0098787A">
      <w:pPr>
        <w:pStyle w:val="Estilo1"/>
        <w:numPr>
          <w:ilvl w:val="0"/>
          <w:numId w:val="6"/>
        </w:numPr>
        <w:spacing w:before="0" w:after="0"/>
        <w:ind w:left="0"/>
        <w:rPr>
          <w:sz w:val="26"/>
          <w:szCs w:val="26"/>
          <w:lang w:val="es-ES_tradnl" w:eastAsia="es-MX"/>
        </w:rPr>
      </w:pPr>
      <w:r w:rsidRPr="00F715E7">
        <w:rPr>
          <w:sz w:val="26"/>
          <w:szCs w:val="26"/>
          <w:lang w:val="es-ES_tradnl"/>
        </w:rPr>
        <w:t>Lo</w:t>
      </w:r>
      <w:r w:rsidRPr="00F715E7">
        <w:rPr>
          <w:sz w:val="26"/>
          <w:szCs w:val="26"/>
        </w:rPr>
        <w:t xml:space="preserve"> relacionado con la procedencia de la acción de inconstitucionalidad es de estudio preferente</w:t>
      </w:r>
      <w:r w:rsidR="000058E9" w:rsidRPr="00F715E7">
        <w:rPr>
          <w:sz w:val="26"/>
          <w:szCs w:val="26"/>
        </w:rPr>
        <w:t>. En el caso,</w:t>
      </w:r>
      <w:r w:rsidR="00B00816" w:rsidRPr="00F715E7">
        <w:rPr>
          <w:sz w:val="26"/>
          <w:szCs w:val="26"/>
        </w:rPr>
        <w:t xml:space="preserve"> dado </w:t>
      </w:r>
      <w:r w:rsidRPr="00F715E7">
        <w:rPr>
          <w:sz w:val="26"/>
          <w:szCs w:val="26"/>
        </w:rPr>
        <w:t>que no existen causales de improcedencia que aleguen las partes o que de oficio advierta este Alto Tribunal,</w:t>
      </w:r>
      <w:r w:rsidR="00745598" w:rsidRPr="00F715E7">
        <w:rPr>
          <w:sz w:val="26"/>
          <w:szCs w:val="26"/>
        </w:rPr>
        <w:t xml:space="preserve"> se</w:t>
      </w:r>
      <w:r w:rsidRPr="00F715E7">
        <w:rPr>
          <w:sz w:val="26"/>
          <w:szCs w:val="26"/>
        </w:rPr>
        <w:t xml:space="preserve"> procede </w:t>
      </w:r>
      <w:r w:rsidR="00745598" w:rsidRPr="00F715E7">
        <w:rPr>
          <w:sz w:val="26"/>
          <w:szCs w:val="26"/>
        </w:rPr>
        <w:t>a</w:t>
      </w:r>
      <w:r w:rsidRPr="00F715E7">
        <w:rPr>
          <w:sz w:val="26"/>
          <w:szCs w:val="26"/>
        </w:rPr>
        <w:t xml:space="preserve">l análisis de </w:t>
      </w:r>
      <w:r w:rsidR="00745598" w:rsidRPr="00F715E7">
        <w:rPr>
          <w:sz w:val="26"/>
          <w:szCs w:val="26"/>
        </w:rPr>
        <w:t xml:space="preserve">fondo de </w:t>
      </w:r>
      <w:r w:rsidRPr="00F715E7">
        <w:rPr>
          <w:sz w:val="26"/>
          <w:szCs w:val="26"/>
        </w:rPr>
        <w:t>los conceptos de invalidez propuestos.</w:t>
      </w:r>
    </w:p>
    <w:p w14:paraId="0A8C7A44" w14:textId="77777777" w:rsidR="00155B4C" w:rsidRPr="00F715E7" w:rsidRDefault="00155B4C" w:rsidP="0098787A">
      <w:pPr>
        <w:pStyle w:val="corte4fondo"/>
        <w:ind w:firstLine="0"/>
        <w:rPr>
          <w:sz w:val="26"/>
          <w:szCs w:val="26"/>
        </w:rPr>
      </w:pPr>
    </w:p>
    <w:p w14:paraId="4FD69A4A" w14:textId="0076F607" w:rsidR="00E06E72" w:rsidRPr="00F715E7" w:rsidRDefault="00E06E72" w:rsidP="00E06E72">
      <w:pPr>
        <w:pStyle w:val="Estilo1"/>
        <w:numPr>
          <w:ilvl w:val="0"/>
          <w:numId w:val="6"/>
        </w:numPr>
        <w:spacing w:before="0" w:after="0"/>
        <w:ind w:left="0"/>
        <w:rPr>
          <w:sz w:val="26"/>
          <w:szCs w:val="26"/>
        </w:rPr>
      </w:pPr>
      <w:r w:rsidRPr="00F715E7">
        <w:rPr>
          <w:sz w:val="26"/>
          <w:szCs w:val="26"/>
        </w:rPr>
        <w:t>Estas consideraciones son vinculantes al haberse aprobado por unanimidad de votos.</w:t>
      </w:r>
    </w:p>
    <w:p w14:paraId="47409B3C" w14:textId="5CDB2030" w:rsidR="00D87543" w:rsidRPr="00D856F5" w:rsidRDefault="00D87543" w:rsidP="00E06E72">
      <w:pPr>
        <w:pStyle w:val="Estilo1"/>
        <w:numPr>
          <w:ilvl w:val="0"/>
          <w:numId w:val="0"/>
        </w:numPr>
        <w:spacing w:before="0" w:after="0"/>
        <w:rPr>
          <w:b/>
          <w:bCs/>
          <w:sz w:val="26"/>
          <w:szCs w:val="26"/>
        </w:rPr>
      </w:pPr>
    </w:p>
    <w:p w14:paraId="149033C0" w14:textId="5310BF64" w:rsidR="00D87543" w:rsidRPr="00F715E7" w:rsidRDefault="00D87543" w:rsidP="0098787A">
      <w:pPr>
        <w:pStyle w:val="Ttulo1"/>
        <w:spacing w:before="0" w:after="0"/>
        <w:ind w:left="714" w:hanging="357"/>
        <w:rPr>
          <w:sz w:val="26"/>
          <w:szCs w:val="26"/>
          <w:lang w:val="es-ES_tradnl"/>
        </w:rPr>
      </w:pPr>
      <w:r w:rsidRPr="00F715E7">
        <w:rPr>
          <w:sz w:val="26"/>
          <w:szCs w:val="26"/>
          <w:lang w:val="es-ES_tradnl"/>
        </w:rPr>
        <w:t>ESTUDIO DE FONDO</w:t>
      </w:r>
      <w:r w:rsidR="00E51A7A">
        <w:rPr>
          <w:sz w:val="26"/>
          <w:szCs w:val="26"/>
          <w:lang w:val="es-ES_tradnl"/>
        </w:rPr>
        <w:t>.</w:t>
      </w:r>
    </w:p>
    <w:p w14:paraId="7B1E1640" w14:textId="77777777" w:rsidR="00D87543" w:rsidRPr="00F715E7" w:rsidRDefault="00D87543" w:rsidP="0098787A">
      <w:pPr>
        <w:pStyle w:val="Prrafodelista"/>
        <w:spacing w:before="0" w:after="0" w:line="360" w:lineRule="auto"/>
        <w:rPr>
          <w:sz w:val="28"/>
          <w:lang w:val="es-ES_tradnl"/>
        </w:rPr>
      </w:pPr>
    </w:p>
    <w:p w14:paraId="4C489CB8" w14:textId="77777777" w:rsidR="00D87543" w:rsidRPr="00F715E7" w:rsidRDefault="00D87543" w:rsidP="0098787A">
      <w:pPr>
        <w:pStyle w:val="corte4fondo"/>
        <w:spacing w:line="276" w:lineRule="auto"/>
        <w:ind w:firstLine="0"/>
        <w:rPr>
          <w:rFonts w:cs="Arial"/>
          <w:b/>
          <w:sz w:val="26"/>
          <w:szCs w:val="26"/>
        </w:rPr>
      </w:pPr>
      <w:r w:rsidRPr="00F715E7">
        <w:rPr>
          <w:rFonts w:cs="Arial"/>
          <w:b/>
          <w:sz w:val="26"/>
          <w:szCs w:val="26"/>
        </w:rPr>
        <w:t>VI.1. Consulta previa a los pueblos y comunidades indígenas y afromexicanas del Estado de Veracruz.</w:t>
      </w:r>
    </w:p>
    <w:p w14:paraId="18B12845" w14:textId="5F61ED5D" w:rsidR="00D87543" w:rsidRPr="00441CF0" w:rsidRDefault="00D87543" w:rsidP="0098787A">
      <w:pPr>
        <w:spacing w:before="0" w:after="0"/>
        <w:rPr>
          <w:b/>
          <w:bCs/>
          <w:sz w:val="26"/>
          <w:szCs w:val="26"/>
        </w:rPr>
      </w:pPr>
    </w:p>
    <w:p w14:paraId="008FD606" w14:textId="11BFD4B9" w:rsidR="00745598" w:rsidRPr="00F715E7" w:rsidRDefault="00155B4C" w:rsidP="0098787A">
      <w:pPr>
        <w:pStyle w:val="Estilo1"/>
        <w:numPr>
          <w:ilvl w:val="0"/>
          <w:numId w:val="6"/>
        </w:numPr>
        <w:spacing w:before="0" w:after="0"/>
        <w:ind w:left="0"/>
        <w:rPr>
          <w:sz w:val="26"/>
          <w:szCs w:val="26"/>
        </w:rPr>
      </w:pPr>
      <w:r w:rsidRPr="00F715E7">
        <w:rPr>
          <w:sz w:val="26"/>
          <w:szCs w:val="26"/>
          <w:lang w:val="es-ES_tradnl"/>
        </w:rPr>
        <w:t xml:space="preserve">El Partido Revolucionario Institucional </w:t>
      </w:r>
      <w:r w:rsidR="00745598" w:rsidRPr="00F715E7">
        <w:rPr>
          <w:sz w:val="26"/>
          <w:szCs w:val="26"/>
          <w:lang w:val="es-ES_tradnl"/>
        </w:rPr>
        <w:t xml:space="preserve">y el Partido de la Revolución Democrática </w:t>
      </w:r>
      <w:r w:rsidR="00D87543" w:rsidRPr="00F715E7">
        <w:rPr>
          <w:sz w:val="26"/>
          <w:szCs w:val="26"/>
          <w:lang w:val="es-ES_tradnl"/>
        </w:rPr>
        <w:t>refiere</w:t>
      </w:r>
      <w:r w:rsidR="00745598" w:rsidRPr="00F715E7">
        <w:rPr>
          <w:sz w:val="26"/>
          <w:szCs w:val="26"/>
          <w:lang w:val="es-ES_tradnl"/>
        </w:rPr>
        <w:t>n,</w:t>
      </w:r>
      <w:r w:rsidR="00D87543" w:rsidRPr="00F715E7">
        <w:rPr>
          <w:sz w:val="26"/>
          <w:szCs w:val="26"/>
          <w:lang w:val="es-ES_tradnl"/>
        </w:rPr>
        <w:t xml:space="preserve"> en su</w:t>
      </w:r>
      <w:r w:rsidR="00745598" w:rsidRPr="00F715E7">
        <w:rPr>
          <w:sz w:val="26"/>
          <w:szCs w:val="26"/>
          <w:lang w:val="es-ES_tradnl"/>
        </w:rPr>
        <w:t>s</w:t>
      </w:r>
      <w:r w:rsidR="00D87543" w:rsidRPr="00F715E7">
        <w:rPr>
          <w:sz w:val="26"/>
          <w:szCs w:val="26"/>
          <w:lang w:val="es-ES_tradnl"/>
        </w:rPr>
        <w:t xml:space="preserve"> </w:t>
      </w:r>
      <w:r w:rsidR="00745598" w:rsidRPr="00F715E7">
        <w:rPr>
          <w:sz w:val="26"/>
          <w:szCs w:val="26"/>
          <w:lang w:val="es-ES_tradnl"/>
        </w:rPr>
        <w:t xml:space="preserve">respectivos </w:t>
      </w:r>
      <w:r w:rsidR="00D87543" w:rsidRPr="00F715E7">
        <w:rPr>
          <w:sz w:val="26"/>
          <w:szCs w:val="26"/>
          <w:lang w:val="es-ES_tradnl"/>
        </w:rPr>
        <w:t>concepto</w:t>
      </w:r>
      <w:r w:rsidR="00745598" w:rsidRPr="00F715E7">
        <w:rPr>
          <w:sz w:val="26"/>
          <w:szCs w:val="26"/>
          <w:lang w:val="es-ES_tradnl"/>
        </w:rPr>
        <w:t>s</w:t>
      </w:r>
      <w:r w:rsidR="00D87543" w:rsidRPr="00F715E7">
        <w:rPr>
          <w:sz w:val="26"/>
          <w:szCs w:val="26"/>
          <w:lang w:val="es-ES_tradnl"/>
        </w:rPr>
        <w:t xml:space="preserve"> de invalidez, que el Congreso de dicha entidad federativa omitió realizar una consulta </w:t>
      </w:r>
      <w:r w:rsidR="00D87543" w:rsidRPr="00F715E7">
        <w:rPr>
          <w:sz w:val="26"/>
          <w:szCs w:val="26"/>
        </w:rPr>
        <w:t>libre, previa, informada y culturalmente adecuada a las comunidades indígenas y afromexicanas, previo a la emisión del decreto impugnado</w:t>
      </w:r>
      <w:r w:rsidR="00745598" w:rsidRPr="00F715E7">
        <w:rPr>
          <w:sz w:val="26"/>
          <w:szCs w:val="26"/>
        </w:rPr>
        <w:t xml:space="preserve">, en contravención del mandato constitucional y convencional en la materia, así como de lo dispuesto por este Tribunal Pleno en la </w:t>
      </w:r>
      <w:r w:rsidR="004F687B">
        <w:rPr>
          <w:sz w:val="26"/>
          <w:szCs w:val="26"/>
        </w:rPr>
        <w:t>a</w:t>
      </w:r>
      <w:r w:rsidR="00745598" w:rsidRPr="00F715E7">
        <w:rPr>
          <w:sz w:val="26"/>
          <w:szCs w:val="26"/>
        </w:rPr>
        <w:t xml:space="preserve">cción de </w:t>
      </w:r>
      <w:r w:rsidR="004F687B">
        <w:rPr>
          <w:sz w:val="26"/>
          <w:szCs w:val="26"/>
        </w:rPr>
        <w:t>i</w:t>
      </w:r>
      <w:r w:rsidR="00745598" w:rsidRPr="00F715E7">
        <w:rPr>
          <w:sz w:val="26"/>
          <w:szCs w:val="26"/>
        </w:rPr>
        <w:t>nconstitucionalidad 241/2020</w:t>
      </w:r>
      <w:r w:rsidR="002A6D10" w:rsidRPr="00F715E7">
        <w:rPr>
          <w:sz w:val="26"/>
          <w:szCs w:val="26"/>
        </w:rPr>
        <w:t xml:space="preserve"> y sus acumuladas</w:t>
      </w:r>
      <w:r w:rsidR="004F687B">
        <w:rPr>
          <w:sz w:val="26"/>
          <w:szCs w:val="26"/>
        </w:rPr>
        <w:t xml:space="preserve"> 242/2020, 243/2020, 248/2020 y 251/2020</w:t>
      </w:r>
      <w:r w:rsidR="002A6D10" w:rsidRPr="00F715E7">
        <w:rPr>
          <w:sz w:val="26"/>
          <w:szCs w:val="26"/>
        </w:rPr>
        <w:t>.</w:t>
      </w:r>
    </w:p>
    <w:p w14:paraId="712B678D" w14:textId="77777777" w:rsidR="00745598" w:rsidRPr="00F715E7" w:rsidRDefault="00745598" w:rsidP="001E1EF8">
      <w:pPr>
        <w:pStyle w:val="Estilo1"/>
        <w:numPr>
          <w:ilvl w:val="0"/>
          <w:numId w:val="0"/>
        </w:numPr>
        <w:spacing w:before="0" w:after="0"/>
        <w:rPr>
          <w:sz w:val="26"/>
          <w:szCs w:val="26"/>
        </w:rPr>
      </w:pPr>
    </w:p>
    <w:p w14:paraId="1463CA3B" w14:textId="44D382EE" w:rsidR="002A6D10" w:rsidRPr="00F715E7" w:rsidRDefault="002A6D10" w:rsidP="0098787A">
      <w:pPr>
        <w:pStyle w:val="Estilo1"/>
        <w:numPr>
          <w:ilvl w:val="0"/>
          <w:numId w:val="6"/>
        </w:numPr>
        <w:spacing w:before="0" w:after="0"/>
        <w:ind w:left="0"/>
        <w:rPr>
          <w:sz w:val="26"/>
          <w:szCs w:val="26"/>
        </w:rPr>
      </w:pPr>
      <w:r w:rsidRPr="00F715E7">
        <w:rPr>
          <w:sz w:val="26"/>
          <w:szCs w:val="26"/>
        </w:rPr>
        <w:t xml:space="preserve">Este Alto Tribunal considera que los argumentos esgrimidos por ambos partidos políticos resultan esencialmente </w:t>
      </w:r>
      <w:r w:rsidRPr="00F715E7">
        <w:rPr>
          <w:b/>
          <w:bCs/>
          <w:sz w:val="26"/>
          <w:szCs w:val="26"/>
        </w:rPr>
        <w:t>infundados</w:t>
      </w:r>
      <w:r w:rsidRPr="00F715E7">
        <w:rPr>
          <w:sz w:val="26"/>
          <w:szCs w:val="26"/>
        </w:rPr>
        <w:t>.</w:t>
      </w:r>
    </w:p>
    <w:p w14:paraId="2F5072FE" w14:textId="77777777" w:rsidR="002A6D10" w:rsidRPr="00F715E7" w:rsidRDefault="002A6D10" w:rsidP="0098787A">
      <w:pPr>
        <w:pStyle w:val="Estilo1"/>
        <w:numPr>
          <w:ilvl w:val="0"/>
          <w:numId w:val="0"/>
        </w:numPr>
        <w:spacing w:before="0" w:after="0"/>
        <w:rPr>
          <w:sz w:val="26"/>
          <w:szCs w:val="26"/>
          <w:lang w:val="es-ES_tradnl"/>
        </w:rPr>
      </w:pPr>
    </w:p>
    <w:p w14:paraId="5078AF8E" w14:textId="3C800DA4"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lastRenderedPageBreak/>
        <w:t>A fin de dar respuesta al anterior planteamiento y verificar si en el caso existía la obligación del Congreso del Estado</w:t>
      </w:r>
      <w:r w:rsidR="004B47ED">
        <w:rPr>
          <w:sz w:val="26"/>
          <w:szCs w:val="26"/>
          <w:lang w:val="es-ES_tradnl"/>
        </w:rPr>
        <w:t xml:space="preserve"> de Veracruz</w:t>
      </w:r>
      <w:r w:rsidRPr="00F715E7">
        <w:rPr>
          <w:sz w:val="26"/>
          <w:szCs w:val="26"/>
          <w:lang w:val="es-ES_tradnl"/>
        </w:rPr>
        <w:t xml:space="preserve"> de realizar una consulta, resulta necesario retomar los criterios sostenidos por el Tribunal Pleno en la materia.</w:t>
      </w:r>
    </w:p>
    <w:p w14:paraId="40F3C176" w14:textId="77777777" w:rsidR="00D87543" w:rsidRPr="00F715E7" w:rsidRDefault="00D87543" w:rsidP="0098787A">
      <w:pPr>
        <w:pStyle w:val="Estilo1"/>
        <w:numPr>
          <w:ilvl w:val="0"/>
          <w:numId w:val="0"/>
        </w:numPr>
        <w:spacing w:before="0" w:after="0"/>
        <w:rPr>
          <w:sz w:val="26"/>
          <w:szCs w:val="26"/>
          <w:lang w:val="es-ES_tradnl"/>
        </w:rPr>
      </w:pPr>
    </w:p>
    <w:p w14:paraId="6251B4C4" w14:textId="4D225601" w:rsidR="00D87543" w:rsidRPr="00F715E7" w:rsidRDefault="009F6C03" w:rsidP="0098787A">
      <w:pPr>
        <w:pStyle w:val="Estilo1"/>
        <w:numPr>
          <w:ilvl w:val="0"/>
          <w:numId w:val="6"/>
        </w:numPr>
        <w:spacing w:before="0" w:after="0"/>
        <w:ind w:left="0"/>
        <w:rPr>
          <w:sz w:val="26"/>
          <w:szCs w:val="26"/>
          <w:lang w:val="es-ES_tradnl"/>
        </w:rPr>
      </w:pPr>
      <w:r w:rsidRPr="00F715E7">
        <w:rPr>
          <w:sz w:val="26"/>
          <w:szCs w:val="26"/>
          <w:lang w:val="es-ES_tradnl"/>
        </w:rPr>
        <w:t xml:space="preserve">Al </w:t>
      </w:r>
      <w:r w:rsidR="00D87543" w:rsidRPr="00F715E7">
        <w:rPr>
          <w:sz w:val="26"/>
          <w:szCs w:val="26"/>
          <w:lang w:val="es-ES_tradnl"/>
        </w:rPr>
        <w:t xml:space="preserve">resolver la </w:t>
      </w:r>
      <w:r w:rsidR="001A74E6">
        <w:rPr>
          <w:sz w:val="26"/>
          <w:szCs w:val="26"/>
          <w:lang w:val="es-ES_tradnl"/>
        </w:rPr>
        <w:t>c</w:t>
      </w:r>
      <w:r w:rsidR="00D87543" w:rsidRPr="00F715E7">
        <w:rPr>
          <w:sz w:val="26"/>
          <w:szCs w:val="26"/>
          <w:lang w:val="es-ES_tradnl"/>
        </w:rPr>
        <w:t xml:space="preserve">ontroversia </w:t>
      </w:r>
      <w:r w:rsidR="001A74E6">
        <w:rPr>
          <w:sz w:val="26"/>
          <w:szCs w:val="26"/>
          <w:lang w:val="es-ES_tradnl"/>
        </w:rPr>
        <w:t>c</w:t>
      </w:r>
      <w:r w:rsidR="00D87543" w:rsidRPr="00F715E7">
        <w:rPr>
          <w:sz w:val="26"/>
          <w:szCs w:val="26"/>
          <w:lang w:val="es-ES_tradnl"/>
        </w:rPr>
        <w:t xml:space="preserve">onstitucional </w:t>
      </w:r>
      <w:r w:rsidR="00D87543" w:rsidRPr="00F715E7">
        <w:rPr>
          <w:b/>
          <w:bCs/>
          <w:sz w:val="26"/>
          <w:szCs w:val="26"/>
          <w:lang w:val="es-ES_tradnl"/>
        </w:rPr>
        <w:t>32/20</w:t>
      </w:r>
      <w:r w:rsidR="000C3096" w:rsidRPr="00F715E7">
        <w:rPr>
          <w:b/>
          <w:bCs/>
          <w:sz w:val="26"/>
          <w:szCs w:val="26"/>
          <w:lang w:val="es-ES_tradnl"/>
        </w:rPr>
        <w:t>12</w:t>
      </w:r>
      <w:r w:rsidR="002A6D10" w:rsidRPr="00F715E7">
        <w:rPr>
          <w:sz w:val="26"/>
          <w:szCs w:val="26"/>
          <w:lang w:val="es-ES_tradnl"/>
        </w:rPr>
        <w:t>,</w:t>
      </w:r>
      <w:r w:rsidR="00D87543" w:rsidRPr="00F715E7">
        <w:rPr>
          <w:sz w:val="26"/>
          <w:szCs w:val="26"/>
          <w:vertAlign w:val="superscript"/>
          <w:lang w:val="es-ES_tradnl"/>
        </w:rPr>
        <w:footnoteReference w:id="21"/>
      </w:r>
      <w:r w:rsidR="00D87543" w:rsidRPr="00F715E7">
        <w:rPr>
          <w:sz w:val="26"/>
          <w:szCs w:val="26"/>
          <w:lang w:val="es-ES_tradnl"/>
        </w:rPr>
        <w:t xml:space="preserve"> este Tribunal Pleno sostuvo que los artículos 2° de la Constitución Política de los Estados Unidos Mexicanos y, 6 y 7 del Convenio 169 de la Organización Internacional del Trabajo obligan a las autoridades mexicanas a consultar a los pueblos y comunidades indígenas y tribales mediante procedimientos culturalmente adecuados, informados y de buena fe a través de sus representantes en los casos en que se prevean medidas legislativas </w:t>
      </w:r>
      <w:r w:rsidR="00D87543" w:rsidRPr="00F715E7">
        <w:rPr>
          <w:b/>
          <w:bCs/>
          <w:sz w:val="26"/>
          <w:szCs w:val="26"/>
          <w:lang w:val="es-ES_tradnl"/>
        </w:rPr>
        <w:t>susceptibles de afectarles directamente</w:t>
      </w:r>
      <w:r w:rsidR="00D87543" w:rsidRPr="00F715E7">
        <w:rPr>
          <w:sz w:val="26"/>
          <w:szCs w:val="26"/>
          <w:lang w:val="es-ES_tradnl"/>
        </w:rPr>
        <w:t>.</w:t>
      </w:r>
    </w:p>
    <w:p w14:paraId="7390A86E" w14:textId="77777777" w:rsidR="00D87543" w:rsidRPr="00F715E7" w:rsidRDefault="00D87543" w:rsidP="0098787A">
      <w:pPr>
        <w:pStyle w:val="Estilo1"/>
        <w:numPr>
          <w:ilvl w:val="0"/>
          <w:numId w:val="0"/>
        </w:numPr>
        <w:spacing w:before="0" w:after="0"/>
        <w:rPr>
          <w:sz w:val="26"/>
          <w:szCs w:val="26"/>
          <w:lang w:val="es-ES_tradnl"/>
        </w:rPr>
      </w:pPr>
    </w:p>
    <w:p w14:paraId="0F9A6D04" w14:textId="435DA1C0"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 xml:space="preserve">En efecto, se consideró que el derecho a la consulta de los pueblos y comunidades indígenas se desprende de lo establecido en el artículo 2° constitucional, relativo a la autodeterminación, a la preservación de su cultura e identidad, al acceso a la justicia, así como a la igualdad y a la no discriminación, por lo que, a pesar de que la consulta indígena no estuviera prevista expresamente como parte del procedimiento legislativo, en términos del artículo 1° de la Constitución Federal, así como los </w:t>
      </w:r>
      <w:r w:rsidR="001A74E6">
        <w:rPr>
          <w:sz w:val="26"/>
          <w:szCs w:val="26"/>
          <w:lang w:val="es-ES_tradnl"/>
        </w:rPr>
        <w:t>diversos</w:t>
      </w:r>
      <w:r w:rsidRPr="00F715E7">
        <w:rPr>
          <w:sz w:val="26"/>
          <w:szCs w:val="26"/>
          <w:lang w:val="es-ES_tradnl"/>
        </w:rPr>
        <w:t xml:space="preserve"> 6 y 7 del Convenio 169 de la Organización Internacional del Trabajo formaban parte del parámetro de regularidad constitucional, imponiendo diversas obligaciones a las autoridades mexicanas, previo a la toma de decisiones que pudieran afectar de manera directa a los grupos que protege el Convenio. </w:t>
      </w:r>
    </w:p>
    <w:p w14:paraId="3254D90B" w14:textId="77777777" w:rsidR="00D87543" w:rsidRPr="00F715E7" w:rsidRDefault="00D87543" w:rsidP="0098787A">
      <w:pPr>
        <w:pStyle w:val="Estilo1"/>
        <w:numPr>
          <w:ilvl w:val="0"/>
          <w:numId w:val="0"/>
        </w:numPr>
        <w:spacing w:before="0" w:after="0"/>
        <w:rPr>
          <w:sz w:val="26"/>
          <w:szCs w:val="26"/>
          <w:lang w:val="es-ES_tradnl"/>
        </w:rPr>
      </w:pPr>
    </w:p>
    <w:p w14:paraId="7C174360" w14:textId="7D74A534"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lastRenderedPageBreak/>
        <w:t>Por tanto, se concluyó que en los casos de una posible afectación a las comunidades indígenas que habitan en su territorio, las legislaturas locales se encuentran obligadas a prever una fase adicional en el procedimiento de creación de las leyes para consultar a los representantes de ese sector de la población.</w:t>
      </w:r>
    </w:p>
    <w:p w14:paraId="2380A58D" w14:textId="77777777" w:rsidR="00D87543" w:rsidRPr="00F715E7" w:rsidRDefault="00D87543" w:rsidP="0098787A">
      <w:pPr>
        <w:pStyle w:val="Estilo1"/>
        <w:numPr>
          <w:ilvl w:val="0"/>
          <w:numId w:val="0"/>
        </w:numPr>
        <w:spacing w:before="0" w:after="0"/>
        <w:rPr>
          <w:sz w:val="26"/>
          <w:szCs w:val="26"/>
          <w:lang w:val="es-ES_tradnl"/>
        </w:rPr>
      </w:pPr>
    </w:p>
    <w:p w14:paraId="5AF70465" w14:textId="45D728A5"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 xml:space="preserve">Ahora, en la </w:t>
      </w:r>
      <w:r w:rsidR="00791EBD">
        <w:rPr>
          <w:sz w:val="26"/>
          <w:szCs w:val="26"/>
          <w:lang w:val="es-ES_tradnl"/>
        </w:rPr>
        <w:t>a</w:t>
      </w:r>
      <w:r w:rsidRPr="00F715E7">
        <w:rPr>
          <w:sz w:val="26"/>
          <w:szCs w:val="26"/>
          <w:lang w:val="es-ES_tradnl"/>
        </w:rPr>
        <w:t xml:space="preserve">cción de </w:t>
      </w:r>
      <w:r w:rsidR="00791EBD">
        <w:rPr>
          <w:sz w:val="26"/>
          <w:szCs w:val="26"/>
          <w:lang w:val="es-ES_tradnl"/>
        </w:rPr>
        <w:t>i</w:t>
      </w:r>
      <w:r w:rsidRPr="00F715E7">
        <w:rPr>
          <w:sz w:val="26"/>
          <w:szCs w:val="26"/>
          <w:lang w:val="es-ES_tradnl"/>
        </w:rPr>
        <w:t xml:space="preserve">nconstitucionalidad </w:t>
      </w:r>
      <w:r w:rsidRPr="00F715E7">
        <w:rPr>
          <w:b/>
          <w:bCs/>
          <w:sz w:val="26"/>
          <w:szCs w:val="26"/>
          <w:lang w:val="es-ES_tradnl"/>
        </w:rPr>
        <w:t>83/2015</w:t>
      </w:r>
      <w:r w:rsidRPr="00F715E7">
        <w:rPr>
          <w:sz w:val="26"/>
          <w:szCs w:val="26"/>
          <w:lang w:val="es-ES_tradnl"/>
        </w:rPr>
        <w:t xml:space="preserve"> y sus acumuladas </w:t>
      </w:r>
      <w:r w:rsidRPr="00F715E7">
        <w:rPr>
          <w:b/>
          <w:bCs/>
          <w:sz w:val="26"/>
          <w:szCs w:val="26"/>
          <w:lang w:val="es-ES_tradnl"/>
        </w:rPr>
        <w:t>86/2015, 91/2015 y 98/2015</w:t>
      </w:r>
      <w:r w:rsidR="002A6D10" w:rsidRPr="00F715E7">
        <w:rPr>
          <w:sz w:val="26"/>
          <w:szCs w:val="26"/>
          <w:lang w:val="es-ES_tradnl"/>
        </w:rPr>
        <w:t>,</w:t>
      </w:r>
      <w:r w:rsidRPr="00F715E7">
        <w:rPr>
          <w:vertAlign w:val="superscript"/>
          <w:lang w:val="es-ES_tradnl"/>
        </w:rPr>
        <w:footnoteReference w:id="22"/>
      </w:r>
      <w:r w:rsidRPr="00F715E7">
        <w:rPr>
          <w:sz w:val="26"/>
          <w:szCs w:val="26"/>
          <w:lang w:val="es-ES_tradnl"/>
        </w:rPr>
        <w:t xml:space="preserve"> se concluyó que en los casos en que el objeto de regulación de una legislación sea precisamente los derechos de personas que se rigen por sistemas normativos indígenas, era evidente que se trataba de leyes susceptibles de afectar</w:t>
      </w:r>
      <w:r w:rsidR="008910BF" w:rsidRPr="00F715E7">
        <w:rPr>
          <w:sz w:val="26"/>
          <w:szCs w:val="26"/>
          <w:lang w:val="es-ES_tradnl"/>
        </w:rPr>
        <w:t>les</w:t>
      </w:r>
      <w:r w:rsidRPr="00F715E7">
        <w:rPr>
          <w:sz w:val="26"/>
          <w:szCs w:val="26"/>
          <w:lang w:val="es-ES_tradnl"/>
        </w:rPr>
        <w:t xml:space="preserve"> directamente.</w:t>
      </w:r>
    </w:p>
    <w:p w14:paraId="517076D3" w14:textId="77777777" w:rsidR="00D87543" w:rsidRPr="00F715E7" w:rsidRDefault="00D87543" w:rsidP="0098787A">
      <w:pPr>
        <w:pStyle w:val="Estilo1"/>
        <w:numPr>
          <w:ilvl w:val="0"/>
          <w:numId w:val="0"/>
        </w:numPr>
        <w:spacing w:before="0" w:after="0"/>
        <w:rPr>
          <w:sz w:val="26"/>
          <w:szCs w:val="26"/>
          <w:lang w:val="es-ES_tradnl"/>
        </w:rPr>
      </w:pPr>
    </w:p>
    <w:p w14:paraId="628B5837" w14:textId="3A34CA45" w:rsidR="00D87543" w:rsidRPr="00F715E7" w:rsidRDefault="008910BF" w:rsidP="0098787A">
      <w:pPr>
        <w:pStyle w:val="Estilo1"/>
        <w:numPr>
          <w:ilvl w:val="0"/>
          <w:numId w:val="6"/>
        </w:numPr>
        <w:spacing w:before="0" w:after="0"/>
        <w:ind w:left="0"/>
        <w:rPr>
          <w:sz w:val="26"/>
          <w:szCs w:val="26"/>
          <w:lang w:val="es-ES_tradnl"/>
        </w:rPr>
      </w:pPr>
      <w:r w:rsidRPr="00F715E7">
        <w:rPr>
          <w:sz w:val="26"/>
          <w:szCs w:val="26"/>
          <w:lang w:val="es-ES_tradnl"/>
        </w:rPr>
        <w:t>E</w:t>
      </w:r>
      <w:r w:rsidR="00D87543" w:rsidRPr="00F715E7">
        <w:rPr>
          <w:sz w:val="26"/>
          <w:szCs w:val="26"/>
          <w:lang w:val="es-ES_tradnl"/>
        </w:rPr>
        <w:t xml:space="preserve">n la </w:t>
      </w:r>
      <w:r w:rsidR="00791EBD">
        <w:rPr>
          <w:sz w:val="26"/>
          <w:szCs w:val="26"/>
          <w:lang w:val="es-ES_tradnl"/>
        </w:rPr>
        <w:t>a</w:t>
      </w:r>
      <w:r w:rsidR="00D87543" w:rsidRPr="00F715E7">
        <w:rPr>
          <w:sz w:val="26"/>
          <w:szCs w:val="26"/>
          <w:lang w:val="es-ES_tradnl"/>
        </w:rPr>
        <w:t xml:space="preserve">cción de </w:t>
      </w:r>
      <w:r w:rsidR="00791EBD">
        <w:rPr>
          <w:sz w:val="26"/>
          <w:szCs w:val="26"/>
          <w:lang w:val="es-ES_tradnl"/>
        </w:rPr>
        <w:t>i</w:t>
      </w:r>
      <w:r w:rsidR="00D87543" w:rsidRPr="00F715E7">
        <w:rPr>
          <w:sz w:val="26"/>
          <w:szCs w:val="26"/>
          <w:lang w:val="es-ES_tradnl"/>
        </w:rPr>
        <w:t xml:space="preserve">nconstitucionalidad </w:t>
      </w:r>
      <w:r w:rsidR="00D87543" w:rsidRPr="00F715E7">
        <w:rPr>
          <w:b/>
          <w:bCs/>
          <w:sz w:val="26"/>
          <w:szCs w:val="26"/>
          <w:lang w:val="es-ES_tradnl"/>
        </w:rPr>
        <w:t>31/2014</w:t>
      </w:r>
      <w:r w:rsidRPr="00F715E7">
        <w:rPr>
          <w:sz w:val="26"/>
          <w:szCs w:val="26"/>
          <w:lang w:val="es-ES_tradnl"/>
        </w:rPr>
        <w:t>,</w:t>
      </w:r>
      <w:r w:rsidR="00D87543" w:rsidRPr="00F715E7">
        <w:rPr>
          <w:vertAlign w:val="superscript"/>
          <w:lang w:val="es-ES_tradnl"/>
        </w:rPr>
        <w:footnoteReference w:id="23"/>
      </w:r>
      <w:r w:rsidR="00D87543" w:rsidRPr="00F715E7">
        <w:rPr>
          <w:sz w:val="26"/>
          <w:szCs w:val="26"/>
          <w:lang w:val="es-ES_tradnl"/>
        </w:rPr>
        <w:t xml:space="preserve"> se precisó que las disposiciones impugnadas implicaban medidas legislativas que incidían en los mecanismos u organismos a través de los cuales las comunidades indígenas podían ejercer sus derechos de participación en las políticas públicas que afectaban a sus intereses. </w:t>
      </w:r>
    </w:p>
    <w:p w14:paraId="16C40E79" w14:textId="77777777" w:rsidR="00D87543" w:rsidRPr="00F715E7" w:rsidRDefault="00D87543" w:rsidP="0098787A">
      <w:pPr>
        <w:pStyle w:val="Estilo1"/>
        <w:numPr>
          <w:ilvl w:val="0"/>
          <w:numId w:val="0"/>
        </w:numPr>
        <w:spacing w:before="0" w:after="0"/>
        <w:rPr>
          <w:sz w:val="26"/>
          <w:szCs w:val="26"/>
          <w:lang w:val="es-ES_tradnl"/>
        </w:rPr>
      </w:pPr>
    </w:p>
    <w:p w14:paraId="7A6BFF49" w14:textId="625CF730" w:rsidR="00D87543" w:rsidRPr="00F715E7" w:rsidRDefault="000F2515" w:rsidP="0098787A">
      <w:pPr>
        <w:pStyle w:val="Estilo1"/>
        <w:numPr>
          <w:ilvl w:val="0"/>
          <w:numId w:val="6"/>
        </w:numPr>
        <w:spacing w:before="0" w:after="0"/>
        <w:ind w:left="0"/>
        <w:rPr>
          <w:sz w:val="26"/>
          <w:szCs w:val="26"/>
          <w:lang w:val="es-ES_tradnl"/>
        </w:rPr>
      </w:pPr>
      <w:r w:rsidRPr="00F715E7">
        <w:rPr>
          <w:sz w:val="26"/>
          <w:szCs w:val="26"/>
          <w:lang w:val="es-ES_tradnl"/>
        </w:rPr>
        <w:t>Posteriormente</w:t>
      </w:r>
      <w:r w:rsidR="00D87543" w:rsidRPr="00F715E7">
        <w:rPr>
          <w:sz w:val="26"/>
          <w:szCs w:val="26"/>
          <w:lang w:val="es-ES_tradnl"/>
        </w:rPr>
        <w:t xml:space="preserve">, en la </w:t>
      </w:r>
      <w:r w:rsidR="00791EBD">
        <w:rPr>
          <w:sz w:val="26"/>
          <w:szCs w:val="26"/>
          <w:lang w:val="es-ES_tradnl"/>
        </w:rPr>
        <w:t>a</w:t>
      </w:r>
      <w:r w:rsidR="00D87543" w:rsidRPr="00F715E7">
        <w:rPr>
          <w:sz w:val="26"/>
          <w:szCs w:val="26"/>
          <w:lang w:val="es-ES_tradnl"/>
        </w:rPr>
        <w:t xml:space="preserve">cción de </w:t>
      </w:r>
      <w:r w:rsidR="00791EBD">
        <w:rPr>
          <w:sz w:val="26"/>
          <w:szCs w:val="26"/>
          <w:lang w:val="es-ES_tradnl"/>
        </w:rPr>
        <w:t>i</w:t>
      </w:r>
      <w:r w:rsidR="00D87543" w:rsidRPr="00F715E7">
        <w:rPr>
          <w:sz w:val="26"/>
          <w:szCs w:val="26"/>
          <w:lang w:val="es-ES_tradnl"/>
        </w:rPr>
        <w:t xml:space="preserve">nconstitucionalidad </w:t>
      </w:r>
      <w:r w:rsidR="00D87543" w:rsidRPr="00F715E7">
        <w:rPr>
          <w:b/>
          <w:bCs/>
          <w:sz w:val="26"/>
          <w:szCs w:val="26"/>
          <w:lang w:val="es-ES_tradnl"/>
        </w:rPr>
        <w:t>84/2016</w:t>
      </w:r>
      <w:r w:rsidR="008910BF" w:rsidRPr="00F715E7">
        <w:rPr>
          <w:sz w:val="26"/>
          <w:szCs w:val="26"/>
          <w:lang w:val="es-ES_tradnl"/>
        </w:rPr>
        <w:t>,</w:t>
      </w:r>
      <w:r w:rsidR="00D87543" w:rsidRPr="00F715E7">
        <w:rPr>
          <w:vertAlign w:val="superscript"/>
          <w:lang w:val="es-ES_tradnl"/>
        </w:rPr>
        <w:footnoteReference w:id="24"/>
      </w:r>
      <w:r w:rsidR="00D87543" w:rsidRPr="00F715E7">
        <w:rPr>
          <w:sz w:val="26"/>
          <w:szCs w:val="26"/>
          <w:lang w:val="es-ES_tradnl"/>
        </w:rPr>
        <w:t xml:space="preserve"> se consideró que existía posibilidad de afectación directa en el sentido del Convenio 169 de la Organización Internacional del Trabajo, en virtud de que las leyes analizadas regulaban instituciones destinadas a atender las necesidades de educación superior de los pueblos y comunidades indígenas. </w:t>
      </w:r>
    </w:p>
    <w:p w14:paraId="1C2D90BA" w14:textId="77777777" w:rsidR="00D87543" w:rsidRPr="00F715E7" w:rsidRDefault="00D87543" w:rsidP="0098787A">
      <w:pPr>
        <w:pStyle w:val="Estilo1"/>
        <w:numPr>
          <w:ilvl w:val="0"/>
          <w:numId w:val="0"/>
        </w:numPr>
        <w:spacing w:before="0" w:after="0"/>
        <w:ind w:left="720" w:hanging="360"/>
        <w:rPr>
          <w:sz w:val="26"/>
          <w:szCs w:val="26"/>
          <w:lang w:val="es-ES_tradnl"/>
        </w:rPr>
      </w:pPr>
    </w:p>
    <w:p w14:paraId="1B15F721" w14:textId="00C432CE"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lastRenderedPageBreak/>
        <w:t xml:space="preserve">Así, el Pleno ha sido consistente en sostener que la consulta tanto a comunidades indígenas como a personas con discapacidad constituye una etapa del proceso legislativo susceptible de viciar todo el ordenamiento cuando está específicamente relacionado con estos grupos vulnerables, lo que ha conllevado la invalidez total de la ley respectiva. Así </w:t>
      </w:r>
      <w:r w:rsidR="008910BF" w:rsidRPr="00F715E7">
        <w:rPr>
          <w:sz w:val="26"/>
          <w:szCs w:val="26"/>
          <w:lang w:val="es-ES_tradnl"/>
        </w:rPr>
        <w:t xml:space="preserve">se sostuvo </w:t>
      </w:r>
      <w:r w:rsidRPr="00F715E7">
        <w:rPr>
          <w:sz w:val="26"/>
          <w:szCs w:val="26"/>
          <w:lang w:val="es-ES_tradnl"/>
        </w:rPr>
        <w:t xml:space="preserve">al resolver las </w:t>
      </w:r>
      <w:r w:rsidR="00A92A5E">
        <w:rPr>
          <w:sz w:val="26"/>
          <w:szCs w:val="26"/>
          <w:lang w:val="es-ES_tradnl"/>
        </w:rPr>
        <w:t>a</w:t>
      </w:r>
      <w:r w:rsidRPr="00F715E7">
        <w:rPr>
          <w:sz w:val="26"/>
          <w:szCs w:val="26"/>
          <w:lang w:val="es-ES_tradnl"/>
        </w:rPr>
        <w:t xml:space="preserve">cciones de </w:t>
      </w:r>
      <w:r w:rsidR="00A92A5E">
        <w:rPr>
          <w:sz w:val="26"/>
          <w:szCs w:val="26"/>
          <w:lang w:val="es-ES_tradnl"/>
        </w:rPr>
        <w:t>i</w:t>
      </w:r>
      <w:r w:rsidRPr="00F715E7">
        <w:rPr>
          <w:sz w:val="26"/>
          <w:szCs w:val="26"/>
          <w:lang w:val="es-ES_tradnl"/>
        </w:rPr>
        <w:t xml:space="preserve">nconstitucionalidad </w:t>
      </w:r>
      <w:r w:rsidRPr="00F715E7">
        <w:rPr>
          <w:b/>
          <w:bCs/>
          <w:sz w:val="26"/>
          <w:szCs w:val="26"/>
          <w:lang w:val="es-ES_tradnl"/>
        </w:rPr>
        <w:t>80/2017</w:t>
      </w:r>
      <w:r w:rsidRPr="00F715E7">
        <w:rPr>
          <w:sz w:val="26"/>
          <w:szCs w:val="26"/>
          <w:lang w:val="es-ES_tradnl"/>
        </w:rPr>
        <w:t xml:space="preserve"> y su acumulada </w:t>
      </w:r>
      <w:r w:rsidRPr="00F715E7">
        <w:rPr>
          <w:b/>
          <w:bCs/>
          <w:sz w:val="26"/>
          <w:szCs w:val="26"/>
          <w:lang w:val="es-ES_tradnl"/>
        </w:rPr>
        <w:t>81/2017</w:t>
      </w:r>
      <w:r w:rsidRPr="00F715E7">
        <w:rPr>
          <w:vertAlign w:val="superscript"/>
          <w:lang w:val="es-ES_tradnl"/>
        </w:rPr>
        <w:footnoteReference w:id="25"/>
      </w:r>
      <w:r w:rsidRPr="00F715E7">
        <w:rPr>
          <w:sz w:val="26"/>
          <w:szCs w:val="26"/>
          <w:lang w:val="es-ES_tradnl"/>
        </w:rPr>
        <w:t xml:space="preserve">, </w:t>
      </w:r>
      <w:r w:rsidRPr="00F715E7">
        <w:rPr>
          <w:b/>
          <w:bCs/>
          <w:sz w:val="26"/>
          <w:szCs w:val="26"/>
          <w:lang w:val="es-ES_tradnl"/>
        </w:rPr>
        <w:t>41/2018</w:t>
      </w:r>
      <w:r w:rsidR="00791EBD" w:rsidRPr="00A92A5E">
        <w:rPr>
          <w:sz w:val="26"/>
          <w:szCs w:val="26"/>
          <w:lang w:val="es-ES_tradnl"/>
        </w:rPr>
        <w:t xml:space="preserve"> y su acumulada</w:t>
      </w:r>
      <w:r w:rsidR="00791EBD">
        <w:rPr>
          <w:b/>
          <w:bCs/>
          <w:sz w:val="26"/>
          <w:szCs w:val="26"/>
          <w:lang w:val="es-ES_tradnl"/>
        </w:rPr>
        <w:t xml:space="preserve"> 42/2018</w:t>
      </w:r>
      <w:r w:rsidRPr="00F715E7">
        <w:rPr>
          <w:vertAlign w:val="superscript"/>
          <w:lang w:val="es-ES_tradnl"/>
        </w:rPr>
        <w:footnoteReference w:id="26"/>
      </w:r>
      <w:r w:rsidRPr="00F715E7">
        <w:rPr>
          <w:sz w:val="26"/>
          <w:szCs w:val="26"/>
          <w:lang w:val="es-ES_tradnl"/>
        </w:rPr>
        <w:t xml:space="preserve"> y </w:t>
      </w:r>
      <w:r w:rsidRPr="00F715E7">
        <w:rPr>
          <w:b/>
          <w:bCs/>
          <w:sz w:val="26"/>
          <w:szCs w:val="26"/>
          <w:lang w:val="es-ES_tradnl"/>
        </w:rPr>
        <w:t>123/2020</w:t>
      </w:r>
      <w:r w:rsidRPr="00F715E7">
        <w:rPr>
          <w:vertAlign w:val="superscript"/>
          <w:lang w:val="es-ES_tradnl"/>
        </w:rPr>
        <w:footnoteReference w:id="27"/>
      </w:r>
      <w:r w:rsidRPr="00F715E7">
        <w:rPr>
          <w:sz w:val="26"/>
          <w:szCs w:val="26"/>
          <w:lang w:val="es-ES_tradnl"/>
        </w:rPr>
        <w:t xml:space="preserve"> cuando se invalidaron en su totalidad la Ley de Asistencia Social para el Estado y Municipios de San Luis Potosí,</w:t>
      </w:r>
      <w:r w:rsidRPr="00F715E7">
        <w:rPr>
          <w:vertAlign w:val="superscript"/>
          <w:lang w:val="es-ES_tradnl"/>
        </w:rPr>
        <w:footnoteReference w:id="28"/>
      </w:r>
      <w:r w:rsidRPr="00F715E7">
        <w:rPr>
          <w:sz w:val="26"/>
          <w:szCs w:val="26"/>
          <w:vertAlign w:val="superscript"/>
          <w:lang w:val="es-ES_tradnl"/>
        </w:rPr>
        <w:t xml:space="preserve"> </w:t>
      </w:r>
      <w:r w:rsidRPr="00F715E7">
        <w:rPr>
          <w:sz w:val="26"/>
          <w:szCs w:val="26"/>
          <w:lang w:val="es-ES_tradnl"/>
        </w:rPr>
        <w:t>la Ley para la Atención Integral de Personas con Síndrome de Down de la Ciudad de México y la Ley de Derechos de las Personas Indígenas y Afromexicanas en el Estado de Nuevo León, respectivamente.</w:t>
      </w:r>
    </w:p>
    <w:p w14:paraId="34B6725F" w14:textId="77777777" w:rsidR="00D87543" w:rsidRPr="00F715E7" w:rsidRDefault="00D87543" w:rsidP="0098787A">
      <w:pPr>
        <w:pStyle w:val="Estilo1"/>
        <w:numPr>
          <w:ilvl w:val="0"/>
          <w:numId w:val="0"/>
        </w:numPr>
        <w:spacing w:before="0" w:after="0"/>
        <w:rPr>
          <w:sz w:val="26"/>
          <w:szCs w:val="26"/>
          <w:lang w:val="es-ES_tradnl"/>
        </w:rPr>
      </w:pPr>
    </w:p>
    <w:p w14:paraId="11587AC6" w14:textId="146CB0FF" w:rsidR="008910BF"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 xml:space="preserve">Asimismo, la mayoría de este Tribunal Pleno ha sostenido que en el supuesto de leyes que no son exclusivas o específicas en regular los intereses y/o derechos de personas con discapacidad o de pueblos y comunidades indígenas, la falta de consulta previa no ha implicado la invalidez de la norma. Así lo resolvió, por ejemplo, en las </w:t>
      </w:r>
      <w:r w:rsidR="008910BF" w:rsidRPr="00F715E7">
        <w:rPr>
          <w:sz w:val="26"/>
          <w:szCs w:val="26"/>
          <w:lang w:val="es-ES_tradnl"/>
        </w:rPr>
        <w:t>C</w:t>
      </w:r>
      <w:r w:rsidRPr="00F715E7">
        <w:rPr>
          <w:sz w:val="26"/>
          <w:szCs w:val="26"/>
          <w:lang w:val="es-ES_tradnl"/>
        </w:rPr>
        <w:t xml:space="preserve">ontroversias </w:t>
      </w:r>
      <w:r w:rsidR="008910BF" w:rsidRPr="00F715E7">
        <w:rPr>
          <w:sz w:val="26"/>
          <w:szCs w:val="26"/>
          <w:lang w:val="es-ES_tradnl"/>
        </w:rPr>
        <w:t>C</w:t>
      </w:r>
      <w:r w:rsidRPr="00F715E7">
        <w:rPr>
          <w:sz w:val="26"/>
          <w:szCs w:val="26"/>
          <w:lang w:val="es-ES_tradnl"/>
        </w:rPr>
        <w:t xml:space="preserve">onstitucionales </w:t>
      </w:r>
      <w:r w:rsidRPr="00F715E7">
        <w:rPr>
          <w:b/>
          <w:bCs/>
          <w:sz w:val="26"/>
          <w:szCs w:val="26"/>
          <w:lang w:val="es-ES_tradnl"/>
        </w:rPr>
        <w:t>38/2019</w:t>
      </w:r>
      <w:r w:rsidRPr="00F715E7">
        <w:rPr>
          <w:sz w:val="26"/>
          <w:szCs w:val="26"/>
          <w:lang w:val="es-ES_tradnl"/>
        </w:rPr>
        <w:t xml:space="preserve">, </w:t>
      </w:r>
      <w:r w:rsidRPr="00F715E7">
        <w:rPr>
          <w:b/>
          <w:bCs/>
          <w:sz w:val="26"/>
          <w:szCs w:val="26"/>
          <w:lang w:val="es-ES_tradnl"/>
        </w:rPr>
        <w:t>28/2019</w:t>
      </w:r>
      <w:r w:rsidRPr="00F715E7">
        <w:rPr>
          <w:sz w:val="26"/>
          <w:szCs w:val="26"/>
          <w:lang w:val="es-ES_tradnl"/>
        </w:rPr>
        <w:t xml:space="preserve"> y </w:t>
      </w:r>
      <w:r w:rsidRPr="00F715E7">
        <w:rPr>
          <w:b/>
          <w:bCs/>
          <w:sz w:val="26"/>
          <w:szCs w:val="26"/>
          <w:lang w:val="es-ES_tradnl"/>
        </w:rPr>
        <w:t>39/2019</w:t>
      </w:r>
      <w:r w:rsidR="008910BF" w:rsidRPr="00F715E7">
        <w:rPr>
          <w:sz w:val="26"/>
          <w:szCs w:val="26"/>
          <w:lang w:val="es-ES_tradnl"/>
        </w:rPr>
        <w:t>,</w:t>
      </w:r>
      <w:r w:rsidRPr="00F715E7">
        <w:rPr>
          <w:vertAlign w:val="superscript"/>
          <w:lang w:val="es-ES_tradnl"/>
        </w:rPr>
        <w:footnoteReference w:id="29"/>
      </w:r>
      <w:r w:rsidRPr="00F715E7">
        <w:rPr>
          <w:sz w:val="26"/>
          <w:szCs w:val="26"/>
          <w:lang w:val="es-ES_tradnl"/>
        </w:rPr>
        <w:t xml:space="preserve"> en las que los Municipios de </w:t>
      </w:r>
      <w:r w:rsidRPr="00F715E7">
        <w:rPr>
          <w:sz w:val="26"/>
          <w:szCs w:val="26"/>
          <w:lang w:val="es-ES_tradnl"/>
        </w:rPr>
        <w:lastRenderedPageBreak/>
        <w:t xml:space="preserve">Contla de Juan Cuamatzi, </w:t>
      </w:r>
      <w:proofErr w:type="spellStart"/>
      <w:r w:rsidRPr="00F715E7">
        <w:rPr>
          <w:sz w:val="26"/>
          <w:szCs w:val="26"/>
          <w:lang w:val="es-ES_tradnl"/>
        </w:rPr>
        <w:t>Yauhquemehcan</w:t>
      </w:r>
      <w:proofErr w:type="spellEnd"/>
      <w:r w:rsidRPr="00F715E7">
        <w:rPr>
          <w:sz w:val="26"/>
          <w:szCs w:val="26"/>
          <w:lang w:val="es-ES_tradnl"/>
        </w:rPr>
        <w:t xml:space="preserve"> y Tlaxco</w:t>
      </w:r>
      <w:r w:rsidR="0007093C">
        <w:rPr>
          <w:sz w:val="26"/>
          <w:szCs w:val="26"/>
          <w:lang w:val="es-ES_tradnl"/>
        </w:rPr>
        <w:t xml:space="preserve"> </w:t>
      </w:r>
      <w:r w:rsidRPr="00F715E7">
        <w:rPr>
          <w:sz w:val="26"/>
          <w:szCs w:val="26"/>
          <w:lang w:val="es-ES_tradnl"/>
        </w:rPr>
        <w:t>impugnaron diversos preceptos de la Ley Municipal del Estado de Tlaxcala</w:t>
      </w:r>
      <w:r w:rsidR="008910BF" w:rsidRPr="00F715E7">
        <w:rPr>
          <w:sz w:val="26"/>
          <w:szCs w:val="26"/>
          <w:lang w:val="es-ES_tradnl"/>
        </w:rPr>
        <w:t>.</w:t>
      </w:r>
    </w:p>
    <w:p w14:paraId="1FB85F99" w14:textId="77777777" w:rsidR="008910BF" w:rsidRPr="00F715E7" w:rsidRDefault="008910BF" w:rsidP="001E1EF8">
      <w:pPr>
        <w:pStyle w:val="Estilo1"/>
        <w:numPr>
          <w:ilvl w:val="0"/>
          <w:numId w:val="0"/>
        </w:numPr>
        <w:spacing w:before="0" w:after="0"/>
        <w:rPr>
          <w:sz w:val="26"/>
          <w:szCs w:val="26"/>
          <w:lang w:val="es-ES_tradnl"/>
        </w:rPr>
      </w:pPr>
    </w:p>
    <w:p w14:paraId="564E87FE" w14:textId="15488327" w:rsidR="00D87543" w:rsidRPr="00F715E7" w:rsidRDefault="008910BF" w:rsidP="00642B72">
      <w:pPr>
        <w:pStyle w:val="Estilo1"/>
        <w:numPr>
          <w:ilvl w:val="0"/>
          <w:numId w:val="6"/>
        </w:numPr>
        <w:spacing w:before="0" w:after="0"/>
        <w:ind w:left="0"/>
        <w:rPr>
          <w:sz w:val="26"/>
          <w:szCs w:val="26"/>
          <w:lang w:val="es-ES_tradnl"/>
        </w:rPr>
      </w:pPr>
      <w:r w:rsidRPr="00F715E7">
        <w:rPr>
          <w:sz w:val="26"/>
          <w:szCs w:val="26"/>
          <w:lang w:val="es-ES_tradnl"/>
        </w:rPr>
        <w:t>D</w:t>
      </w:r>
      <w:r w:rsidR="00D87543" w:rsidRPr="00F715E7">
        <w:rPr>
          <w:sz w:val="26"/>
          <w:szCs w:val="26"/>
          <w:lang w:val="es-ES_tradnl"/>
        </w:rPr>
        <w:t xml:space="preserve">e igual forma, en la </w:t>
      </w:r>
      <w:r w:rsidR="004B4293">
        <w:rPr>
          <w:sz w:val="26"/>
          <w:szCs w:val="26"/>
          <w:lang w:val="es-ES_tradnl"/>
        </w:rPr>
        <w:t>a</w:t>
      </w:r>
      <w:r w:rsidR="00D87543" w:rsidRPr="00F715E7">
        <w:rPr>
          <w:sz w:val="26"/>
          <w:szCs w:val="26"/>
          <w:lang w:val="es-ES_tradnl"/>
        </w:rPr>
        <w:t xml:space="preserve">cción de </w:t>
      </w:r>
      <w:r w:rsidR="004B4293">
        <w:rPr>
          <w:sz w:val="26"/>
          <w:szCs w:val="26"/>
          <w:lang w:val="es-ES_tradnl"/>
        </w:rPr>
        <w:t>i</w:t>
      </w:r>
      <w:r w:rsidR="00D87543" w:rsidRPr="00F715E7">
        <w:rPr>
          <w:sz w:val="26"/>
          <w:szCs w:val="26"/>
          <w:lang w:val="es-ES_tradnl"/>
        </w:rPr>
        <w:t xml:space="preserve">nconstitucionalidad </w:t>
      </w:r>
      <w:r w:rsidR="00D87543" w:rsidRPr="00F715E7">
        <w:rPr>
          <w:b/>
          <w:bCs/>
          <w:sz w:val="26"/>
          <w:szCs w:val="26"/>
          <w:lang w:val="es-ES_tradnl"/>
        </w:rPr>
        <w:t>61/2019</w:t>
      </w:r>
      <w:r w:rsidRPr="00F715E7">
        <w:rPr>
          <w:sz w:val="26"/>
          <w:szCs w:val="26"/>
          <w:lang w:val="es-ES_tradnl"/>
        </w:rPr>
        <w:t>,</w:t>
      </w:r>
      <w:r w:rsidR="00D87543" w:rsidRPr="00F715E7">
        <w:rPr>
          <w:vertAlign w:val="superscript"/>
          <w:lang w:val="es-ES_tradnl"/>
        </w:rPr>
        <w:footnoteReference w:id="30"/>
      </w:r>
      <w:r w:rsidR="00D87543" w:rsidRPr="00F715E7">
        <w:rPr>
          <w:sz w:val="26"/>
          <w:szCs w:val="26"/>
          <w:lang w:val="es-ES_tradnl"/>
        </w:rPr>
        <w:t xml:space="preserve"> en la que si bien se declaró la invalidez de la Ley número 248 de Comunicación Social Para el Estado de Veracruz de Ignacio de la Llave, la invalidez no atendió a la falta de consulta previa a las comunidades indígenas, sino en virtud de</w:t>
      </w:r>
      <w:r w:rsidRPr="00F715E7">
        <w:rPr>
          <w:sz w:val="26"/>
          <w:szCs w:val="26"/>
          <w:lang w:val="es-ES_tradnl"/>
        </w:rPr>
        <w:t>l cúmulo de</w:t>
      </w:r>
      <w:r w:rsidR="00D87543" w:rsidRPr="00F715E7">
        <w:rPr>
          <w:sz w:val="26"/>
          <w:szCs w:val="26"/>
          <w:lang w:val="es-ES_tradnl"/>
        </w:rPr>
        <w:t xml:space="preserve"> otros vicios </w:t>
      </w:r>
      <w:r w:rsidRPr="00F715E7">
        <w:rPr>
          <w:sz w:val="26"/>
          <w:szCs w:val="26"/>
          <w:lang w:val="es-ES_tradnl"/>
        </w:rPr>
        <w:t xml:space="preserve">al </w:t>
      </w:r>
      <w:r w:rsidR="00D87543" w:rsidRPr="00F715E7">
        <w:rPr>
          <w:sz w:val="26"/>
          <w:szCs w:val="26"/>
          <w:lang w:val="es-ES_tradnl"/>
        </w:rPr>
        <w:t>procedimiento legislativo</w:t>
      </w:r>
      <w:r w:rsidRPr="00F715E7">
        <w:rPr>
          <w:sz w:val="26"/>
          <w:szCs w:val="26"/>
          <w:lang w:val="es-ES_tradnl"/>
        </w:rPr>
        <w:t>.</w:t>
      </w:r>
      <w:r w:rsidR="00D87543" w:rsidRPr="00F715E7">
        <w:rPr>
          <w:sz w:val="26"/>
          <w:szCs w:val="26"/>
          <w:lang w:val="es-ES_tradnl"/>
        </w:rPr>
        <w:t xml:space="preserve"> </w:t>
      </w:r>
      <w:r w:rsidRPr="00F715E7">
        <w:rPr>
          <w:sz w:val="26"/>
          <w:szCs w:val="26"/>
          <w:lang w:val="es-ES_tradnl"/>
        </w:rPr>
        <w:t>D</w:t>
      </w:r>
      <w:r w:rsidR="00D87543" w:rsidRPr="00F715E7">
        <w:rPr>
          <w:sz w:val="26"/>
          <w:szCs w:val="26"/>
          <w:lang w:val="es-ES_tradnl"/>
        </w:rPr>
        <w:t xml:space="preserve">e manera más reciente, </w:t>
      </w:r>
      <w:r w:rsidRPr="00F715E7">
        <w:rPr>
          <w:sz w:val="26"/>
          <w:szCs w:val="26"/>
          <w:lang w:val="es-ES_tradnl"/>
        </w:rPr>
        <w:t xml:space="preserve">en </w:t>
      </w:r>
      <w:r w:rsidR="00D87543" w:rsidRPr="00F715E7">
        <w:rPr>
          <w:sz w:val="26"/>
          <w:szCs w:val="26"/>
          <w:lang w:val="es-ES_tradnl"/>
        </w:rPr>
        <w:t xml:space="preserve">la </w:t>
      </w:r>
      <w:r w:rsidR="004B4293">
        <w:rPr>
          <w:sz w:val="26"/>
          <w:szCs w:val="26"/>
          <w:lang w:val="es-ES_tradnl"/>
        </w:rPr>
        <w:t>a</w:t>
      </w:r>
      <w:r w:rsidR="00D87543" w:rsidRPr="00F715E7">
        <w:rPr>
          <w:sz w:val="26"/>
          <w:szCs w:val="26"/>
          <w:lang w:val="es-ES_tradnl"/>
        </w:rPr>
        <w:t xml:space="preserve">cción de </w:t>
      </w:r>
      <w:r w:rsidR="004B4293">
        <w:rPr>
          <w:sz w:val="26"/>
          <w:szCs w:val="26"/>
          <w:lang w:val="es-ES_tradnl"/>
        </w:rPr>
        <w:t>i</w:t>
      </w:r>
      <w:r w:rsidR="00D87543" w:rsidRPr="00F715E7">
        <w:rPr>
          <w:sz w:val="26"/>
          <w:szCs w:val="26"/>
          <w:lang w:val="es-ES_tradnl"/>
        </w:rPr>
        <w:t xml:space="preserve">nconstitucionalidad </w:t>
      </w:r>
      <w:r w:rsidR="00D87543" w:rsidRPr="00F715E7">
        <w:rPr>
          <w:b/>
          <w:bCs/>
          <w:sz w:val="26"/>
          <w:szCs w:val="26"/>
          <w:lang w:val="es-ES_tradnl"/>
        </w:rPr>
        <w:t>109/2020</w:t>
      </w:r>
      <w:r w:rsidRPr="00F715E7">
        <w:rPr>
          <w:sz w:val="26"/>
          <w:szCs w:val="26"/>
          <w:lang w:val="es-ES_tradnl"/>
        </w:rPr>
        <w:t>,</w:t>
      </w:r>
      <w:r w:rsidR="00D87543" w:rsidRPr="00F715E7">
        <w:rPr>
          <w:vertAlign w:val="superscript"/>
          <w:lang w:val="es-ES_tradnl"/>
        </w:rPr>
        <w:footnoteReference w:id="31"/>
      </w:r>
      <w:r w:rsidR="00D87543" w:rsidRPr="00F715E7">
        <w:rPr>
          <w:sz w:val="26"/>
          <w:szCs w:val="26"/>
          <w:vertAlign w:val="superscript"/>
          <w:lang w:val="es-ES_tradnl"/>
        </w:rPr>
        <w:t xml:space="preserve"> </w:t>
      </w:r>
      <w:r w:rsidR="00D87543" w:rsidRPr="00F715E7">
        <w:rPr>
          <w:sz w:val="26"/>
          <w:szCs w:val="26"/>
          <w:lang w:val="es-ES_tradnl"/>
        </w:rPr>
        <w:t>la mayoría de este Tribunal Pleno al analizar la constitucionalidad del artículo 68, párrafo último, de la Ley de Salud del Estado de Yucatán, determinó que no era necesaria la consulta previa a los pueblos y comunidades indígenas.</w:t>
      </w:r>
    </w:p>
    <w:p w14:paraId="1DC4012E" w14:textId="77777777" w:rsidR="00D87543" w:rsidRPr="00F715E7" w:rsidRDefault="00D87543" w:rsidP="00642B72">
      <w:pPr>
        <w:pStyle w:val="Estilo1"/>
        <w:numPr>
          <w:ilvl w:val="0"/>
          <w:numId w:val="0"/>
        </w:numPr>
        <w:spacing w:before="0" w:after="0"/>
        <w:rPr>
          <w:sz w:val="26"/>
          <w:szCs w:val="26"/>
          <w:lang w:val="es-ES_tradnl"/>
        </w:rPr>
      </w:pPr>
    </w:p>
    <w:p w14:paraId="036DF664" w14:textId="6ADACE6C" w:rsidR="00D87543" w:rsidRPr="00F715E7" w:rsidRDefault="00D87543" w:rsidP="00642B72">
      <w:pPr>
        <w:pStyle w:val="Estilo1"/>
        <w:numPr>
          <w:ilvl w:val="0"/>
          <w:numId w:val="6"/>
        </w:numPr>
        <w:spacing w:before="0" w:after="0"/>
        <w:ind w:left="0"/>
        <w:rPr>
          <w:sz w:val="26"/>
          <w:szCs w:val="26"/>
          <w:lang w:val="es-ES_tradnl"/>
        </w:rPr>
      </w:pPr>
      <w:r w:rsidRPr="00F715E7">
        <w:rPr>
          <w:sz w:val="26"/>
          <w:szCs w:val="26"/>
          <w:lang w:val="es-ES_tradnl"/>
        </w:rPr>
        <w:t xml:space="preserve">De esta forma, caso por caso, se ha ido desarrollando qué debe entenderse por “medidas legislativas o administrativas susceptibles de afectarles directamente”, de conformidad con lo previsto en el artículo 6 del Convenio 169 de la Organización Internacional del Trabajo. </w:t>
      </w:r>
    </w:p>
    <w:p w14:paraId="6B542E47" w14:textId="77777777" w:rsidR="004F5159" w:rsidRPr="00F715E7" w:rsidRDefault="004F5159" w:rsidP="00642B72">
      <w:pPr>
        <w:pStyle w:val="Prrafodelista"/>
        <w:spacing w:before="0" w:after="0" w:line="360" w:lineRule="auto"/>
        <w:rPr>
          <w:sz w:val="26"/>
          <w:szCs w:val="26"/>
          <w:lang w:val="es-ES_tradnl"/>
        </w:rPr>
      </w:pPr>
    </w:p>
    <w:p w14:paraId="11A277C1" w14:textId="433726BB" w:rsidR="004F5159" w:rsidRPr="00F715E7" w:rsidRDefault="004F5159" w:rsidP="00642B72">
      <w:pPr>
        <w:pStyle w:val="Estilo1"/>
        <w:numPr>
          <w:ilvl w:val="0"/>
          <w:numId w:val="6"/>
        </w:numPr>
        <w:spacing w:before="0" w:after="0"/>
        <w:ind w:left="0"/>
        <w:rPr>
          <w:sz w:val="26"/>
          <w:szCs w:val="26"/>
          <w:lang w:val="es-ES_tradnl"/>
        </w:rPr>
      </w:pPr>
      <w:r w:rsidRPr="00F715E7">
        <w:rPr>
          <w:sz w:val="26"/>
          <w:szCs w:val="26"/>
          <w:lang w:val="es-ES_tradnl"/>
        </w:rPr>
        <w:t xml:space="preserve">En el mismo tenor la Corte Interamericana de Derechos Humanos en el caso </w:t>
      </w:r>
      <w:r w:rsidRPr="00F715E7">
        <w:rPr>
          <w:i/>
          <w:iCs/>
          <w:sz w:val="26"/>
          <w:szCs w:val="26"/>
          <w:lang w:val="es-ES_tradnl"/>
        </w:rPr>
        <w:t xml:space="preserve">Pueblo </w:t>
      </w:r>
      <w:proofErr w:type="spellStart"/>
      <w:r w:rsidRPr="00F715E7">
        <w:rPr>
          <w:i/>
          <w:iCs/>
          <w:sz w:val="26"/>
          <w:szCs w:val="26"/>
          <w:lang w:val="es-ES_tradnl"/>
        </w:rPr>
        <w:t>Saramaka</w:t>
      </w:r>
      <w:proofErr w:type="spellEnd"/>
      <w:r w:rsidRPr="00F715E7">
        <w:rPr>
          <w:i/>
          <w:iCs/>
          <w:sz w:val="26"/>
          <w:szCs w:val="26"/>
          <w:lang w:val="es-ES_tradnl"/>
        </w:rPr>
        <w:t xml:space="preserve"> Vs. Surinam</w:t>
      </w:r>
      <w:r w:rsidRPr="00F715E7">
        <w:rPr>
          <w:sz w:val="26"/>
          <w:szCs w:val="26"/>
          <w:lang w:val="es-ES_tradnl"/>
        </w:rPr>
        <w:t>,</w:t>
      </w:r>
      <w:r w:rsidRPr="00F715E7">
        <w:rPr>
          <w:sz w:val="26"/>
          <w:szCs w:val="26"/>
          <w:vertAlign w:val="superscript"/>
          <w:lang w:val="es-ES_tradnl"/>
        </w:rPr>
        <w:footnoteReference w:id="32"/>
      </w:r>
      <w:r w:rsidRPr="00F715E7">
        <w:rPr>
          <w:sz w:val="26"/>
          <w:szCs w:val="26"/>
          <w:lang w:val="es-ES_tradnl"/>
        </w:rPr>
        <w:t xml:space="preserve"> determinó que el principio de consulta constituye una obligación especial que protege el ejercicio de los derechos sustantivos de los pueblos indígenas y funciona como un medio para garantizar su observancia.</w:t>
      </w:r>
    </w:p>
    <w:p w14:paraId="20D8F21E" w14:textId="77777777" w:rsidR="004F5159" w:rsidRPr="00F715E7" w:rsidRDefault="004F5159" w:rsidP="00642B72">
      <w:pPr>
        <w:pStyle w:val="Estilo1"/>
        <w:numPr>
          <w:ilvl w:val="0"/>
          <w:numId w:val="0"/>
        </w:numPr>
        <w:spacing w:before="0" w:after="0"/>
        <w:rPr>
          <w:sz w:val="26"/>
          <w:szCs w:val="26"/>
          <w:lang w:val="es-ES_tradnl"/>
        </w:rPr>
      </w:pPr>
    </w:p>
    <w:p w14:paraId="3DCD3BEB" w14:textId="37715AE2" w:rsidR="004F5159" w:rsidRPr="00F715E7" w:rsidRDefault="004F5159" w:rsidP="00642B72">
      <w:pPr>
        <w:pStyle w:val="Estilo1"/>
        <w:numPr>
          <w:ilvl w:val="0"/>
          <w:numId w:val="6"/>
        </w:numPr>
        <w:spacing w:before="0" w:after="0"/>
        <w:ind w:left="0"/>
        <w:rPr>
          <w:sz w:val="26"/>
          <w:szCs w:val="26"/>
          <w:vertAlign w:val="superscript"/>
          <w:lang w:val="es-ES_tradnl"/>
        </w:rPr>
      </w:pPr>
      <w:r w:rsidRPr="00F715E7">
        <w:rPr>
          <w:sz w:val="26"/>
          <w:szCs w:val="26"/>
          <w:lang w:val="es-ES_tradnl"/>
        </w:rPr>
        <w:lastRenderedPageBreak/>
        <w:t xml:space="preserve">De acuerdo con el Relator de Naciones Unidas, el deber de los Estados de celebrar consultas con los pueblos indígenas en los procesos de decisiones que los afecten tiene por objeto poner fin al modelo histórico de exclusión del proceso de adopción de decisiones con el objeto de que en el futuro las decisiones importantes no se impongan a los pueblos indígenas y que </w:t>
      </w:r>
      <w:r w:rsidR="00CB5DBB">
        <w:rPr>
          <w:sz w:val="26"/>
          <w:szCs w:val="26"/>
          <w:lang w:val="es-ES_tradnl"/>
        </w:rPr>
        <w:t>é</w:t>
      </w:r>
      <w:r w:rsidRPr="00F715E7">
        <w:rPr>
          <w:sz w:val="26"/>
          <w:szCs w:val="26"/>
          <w:lang w:val="es-ES_tradnl"/>
        </w:rPr>
        <w:t>stos puedan prosperar como comunidades distintas en las tierras en que, por su cultura, están arraigados.</w:t>
      </w:r>
      <w:r w:rsidRPr="00F715E7">
        <w:rPr>
          <w:vertAlign w:val="superscript"/>
          <w:lang w:val="es-ES_tradnl"/>
        </w:rPr>
        <w:footnoteReference w:id="33"/>
      </w:r>
    </w:p>
    <w:p w14:paraId="2C92020B" w14:textId="77777777" w:rsidR="00D87543" w:rsidRPr="00F715E7" w:rsidRDefault="00D87543" w:rsidP="00642B72">
      <w:pPr>
        <w:pStyle w:val="Estilo1"/>
        <w:numPr>
          <w:ilvl w:val="0"/>
          <w:numId w:val="0"/>
        </w:numPr>
        <w:spacing w:before="0" w:after="0"/>
        <w:rPr>
          <w:sz w:val="26"/>
          <w:szCs w:val="26"/>
          <w:lang w:val="es-ES_tradnl"/>
        </w:rPr>
      </w:pPr>
    </w:p>
    <w:p w14:paraId="78651DCF" w14:textId="5D34812E" w:rsidR="00D87543" w:rsidRPr="00F715E7" w:rsidRDefault="00D87543" w:rsidP="00642B72">
      <w:pPr>
        <w:pStyle w:val="Estilo1"/>
        <w:numPr>
          <w:ilvl w:val="0"/>
          <w:numId w:val="6"/>
        </w:numPr>
        <w:spacing w:before="0" w:after="0"/>
        <w:ind w:left="0"/>
        <w:rPr>
          <w:sz w:val="26"/>
          <w:szCs w:val="26"/>
          <w:lang w:val="es-ES_tradnl"/>
        </w:rPr>
      </w:pPr>
      <w:r w:rsidRPr="00F715E7">
        <w:rPr>
          <w:sz w:val="26"/>
          <w:szCs w:val="26"/>
          <w:lang w:val="es-ES_tradnl"/>
        </w:rPr>
        <w:t xml:space="preserve">Ahora, para el análisis del caso concreto conviene recordar lo resuelto por este Tribunal Pleno en la </w:t>
      </w:r>
      <w:r w:rsidR="004F5159" w:rsidRPr="00F715E7">
        <w:rPr>
          <w:sz w:val="26"/>
          <w:szCs w:val="26"/>
          <w:lang w:val="es-ES_tradnl"/>
        </w:rPr>
        <w:t>A</w:t>
      </w:r>
      <w:r w:rsidRPr="00F715E7">
        <w:rPr>
          <w:sz w:val="26"/>
          <w:szCs w:val="26"/>
          <w:lang w:val="es-ES_tradnl"/>
        </w:rPr>
        <w:t xml:space="preserve">cción de </w:t>
      </w:r>
      <w:r w:rsidR="004F5159" w:rsidRPr="00F715E7">
        <w:rPr>
          <w:sz w:val="26"/>
          <w:szCs w:val="26"/>
          <w:lang w:val="es-ES_tradnl"/>
        </w:rPr>
        <w:t>I</w:t>
      </w:r>
      <w:r w:rsidRPr="00F715E7">
        <w:rPr>
          <w:sz w:val="26"/>
          <w:szCs w:val="26"/>
          <w:lang w:val="es-ES_tradnl"/>
        </w:rPr>
        <w:t xml:space="preserve">nconstitucionalidad </w:t>
      </w:r>
      <w:r w:rsidRPr="00F715E7">
        <w:rPr>
          <w:b/>
          <w:bCs/>
          <w:sz w:val="26"/>
          <w:szCs w:val="26"/>
          <w:lang w:val="es-ES_tradnl"/>
        </w:rPr>
        <w:t>212/2020</w:t>
      </w:r>
      <w:r w:rsidR="004F5159" w:rsidRPr="00F715E7">
        <w:rPr>
          <w:sz w:val="26"/>
          <w:szCs w:val="26"/>
          <w:lang w:val="es-ES_tradnl"/>
        </w:rPr>
        <w:t>,</w:t>
      </w:r>
      <w:r w:rsidRPr="00F715E7">
        <w:rPr>
          <w:vertAlign w:val="superscript"/>
          <w:lang w:val="es-ES_tradnl"/>
        </w:rPr>
        <w:footnoteReference w:id="34"/>
      </w:r>
      <w:r w:rsidRPr="00F715E7">
        <w:rPr>
          <w:sz w:val="26"/>
          <w:szCs w:val="26"/>
          <w:lang w:val="es-ES_tradnl"/>
        </w:rPr>
        <w:t xml:space="preserve"> en la que se declaró la invalidez de los artículos 62 y 63 de la Ley de Educación para el Estado de Tlaxcala, expedida mediante el Decreto No. 208 publicado en el periódico oficial de esa entidad federativa, por contener normas encaminadas a regular cuestiones relacionadas con la educación indígena, sin que se hubiera realizado la consulta previa exigida.</w:t>
      </w:r>
    </w:p>
    <w:p w14:paraId="5A3588C8" w14:textId="77777777" w:rsidR="00D87543" w:rsidRPr="00F715E7" w:rsidRDefault="00D87543" w:rsidP="00642B72">
      <w:pPr>
        <w:pStyle w:val="Estilo1"/>
        <w:numPr>
          <w:ilvl w:val="0"/>
          <w:numId w:val="0"/>
        </w:numPr>
        <w:spacing w:before="0" w:after="0"/>
        <w:rPr>
          <w:sz w:val="26"/>
          <w:szCs w:val="26"/>
          <w:lang w:val="es-ES_tradnl"/>
        </w:rPr>
      </w:pPr>
    </w:p>
    <w:p w14:paraId="52CD40CA" w14:textId="3A9E1253" w:rsidR="00D87543" w:rsidRPr="00F715E7" w:rsidRDefault="00D87543" w:rsidP="00642B72">
      <w:pPr>
        <w:pStyle w:val="Estilo1"/>
        <w:numPr>
          <w:ilvl w:val="0"/>
          <w:numId w:val="6"/>
        </w:numPr>
        <w:spacing w:before="0" w:after="0"/>
        <w:ind w:left="0"/>
        <w:rPr>
          <w:sz w:val="26"/>
          <w:szCs w:val="26"/>
          <w:lang w:val="es-ES_tradnl"/>
        </w:rPr>
      </w:pPr>
      <w:r w:rsidRPr="00F715E7">
        <w:rPr>
          <w:sz w:val="26"/>
          <w:szCs w:val="26"/>
          <w:lang w:val="es-ES_tradnl"/>
        </w:rPr>
        <w:t xml:space="preserve">También, en dicho precedente este Tribunal Constitucional reiteró su criterio consistente en </w:t>
      </w:r>
      <w:r w:rsidR="008E42C4" w:rsidRPr="00F715E7">
        <w:rPr>
          <w:sz w:val="26"/>
          <w:szCs w:val="26"/>
          <w:lang w:val="es-ES_tradnl"/>
        </w:rPr>
        <w:t>que,</w:t>
      </w:r>
      <w:r w:rsidRPr="00F715E7">
        <w:rPr>
          <w:sz w:val="26"/>
          <w:szCs w:val="26"/>
          <w:lang w:val="es-ES_tradnl"/>
        </w:rPr>
        <w:t xml:space="preserve"> para efecto de determinar la invalidez de una norma general por vulnerar el derecho a la consulta de los pueblos y comunidades indígenas y afromexicanas, no es relevante si la medida es benéfica a juicio del legislador</w:t>
      </w:r>
      <w:r w:rsidR="008D585C" w:rsidRPr="00F715E7">
        <w:rPr>
          <w:sz w:val="26"/>
          <w:szCs w:val="26"/>
          <w:lang w:val="es-ES_tradnl"/>
        </w:rPr>
        <w:t>,</w:t>
      </w:r>
      <w:r w:rsidRPr="00F715E7">
        <w:rPr>
          <w:sz w:val="26"/>
          <w:szCs w:val="26"/>
          <w:vertAlign w:val="superscript"/>
          <w:lang w:val="es-ES_tradnl"/>
        </w:rPr>
        <w:footnoteReference w:id="35"/>
      </w:r>
      <w:r w:rsidRPr="00F715E7">
        <w:rPr>
          <w:sz w:val="26"/>
          <w:szCs w:val="26"/>
          <w:vertAlign w:val="superscript"/>
          <w:lang w:val="es-ES_tradnl"/>
        </w:rPr>
        <w:t xml:space="preserve"> </w:t>
      </w:r>
      <w:r w:rsidRPr="00F715E7">
        <w:rPr>
          <w:sz w:val="26"/>
          <w:szCs w:val="26"/>
          <w:lang w:val="es-ES_tradnl"/>
        </w:rPr>
        <w:t>en tanto que la consulta representa una garantía del derecho a la autodeterminación de estos pueblos y comunidades.</w:t>
      </w:r>
    </w:p>
    <w:p w14:paraId="273B60F2" w14:textId="77777777" w:rsidR="00D87543" w:rsidRPr="00F715E7" w:rsidRDefault="00D87543" w:rsidP="00642B72">
      <w:pPr>
        <w:pStyle w:val="Estilo1"/>
        <w:numPr>
          <w:ilvl w:val="0"/>
          <w:numId w:val="0"/>
        </w:numPr>
        <w:spacing w:before="0" w:after="0"/>
        <w:rPr>
          <w:sz w:val="26"/>
          <w:szCs w:val="26"/>
          <w:lang w:val="es-ES_tradnl"/>
        </w:rPr>
      </w:pPr>
    </w:p>
    <w:p w14:paraId="2C02FC68" w14:textId="77777777" w:rsidR="00D87543" w:rsidRPr="00F715E7" w:rsidRDefault="00D87543" w:rsidP="00642B72">
      <w:pPr>
        <w:pStyle w:val="Estilo1"/>
        <w:numPr>
          <w:ilvl w:val="0"/>
          <w:numId w:val="6"/>
        </w:numPr>
        <w:spacing w:before="0" w:after="0"/>
        <w:ind w:left="0"/>
        <w:rPr>
          <w:sz w:val="26"/>
          <w:szCs w:val="26"/>
          <w:lang w:val="es-ES_tradnl"/>
        </w:rPr>
      </w:pPr>
      <w:r w:rsidRPr="00F715E7">
        <w:rPr>
          <w:sz w:val="26"/>
          <w:szCs w:val="26"/>
          <w:lang w:val="es-ES_tradnl"/>
        </w:rPr>
        <w:lastRenderedPageBreak/>
        <w:t xml:space="preserve">Asimismo, se reafirmó que la consulta indígena representa un contenido constitucional erigido como parámetro de control en dos vertientes, como derecho sustantivo, cuya violación puede ser reclamada respecto de un contenido normativo, o bien, como requisito constitucional del procedimiento legislativo, en cuyo caso puede analizarse en la acción de inconstitucionalidad como una violación al procedimiento legislativo. </w:t>
      </w:r>
    </w:p>
    <w:p w14:paraId="0999E91E" w14:textId="77777777" w:rsidR="00D87543" w:rsidRPr="00F715E7" w:rsidRDefault="00D87543" w:rsidP="0098787A">
      <w:pPr>
        <w:pStyle w:val="Estilo1"/>
        <w:numPr>
          <w:ilvl w:val="0"/>
          <w:numId w:val="0"/>
        </w:numPr>
        <w:spacing w:before="0" w:after="0"/>
        <w:rPr>
          <w:sz w:val="26"/>
          <w:szCs w:val="26"/>
          <w:lang w:val="es-ES_tradnl"/>
        </w:rPr>
      </w:pPr>
    </w:p>
    <w:p w14:paraId="7090D460" w14:textId="6F8D2FED"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 xml:space="preserve">Sin embargo, este asunto también dio lugar a una evolución al criterio que se venía sosteniendo, </w:t>
      </w:r>
      <w:r w:rsidR="008408E9" w:rsidRPr="00F715E7">
        <w:rPr>
          <w:sz w:val="26"/>
          <w:szCs w:val="26"/>
          <w:lang w:val="es-ES_tradnl"/>
        </w:rPr>
        <w:t>pues</w:t>
      </w:r>
      <w:r w:rsidRPr="00F715E7">
        <w:rPr>
          <w:sz w:val="26"/>
          <w:szCs w:val="26"/>
          <w:lang w:val="es-ES_tradnl"/>
        </w:rPr>
        <w:t xml:space="preserve"> se estimó que en los supuestos en que no se lleve a cabo la consulta referida, respecto de legislación que no es específica o exclusiva para estos grupos, el vicio en el proceso legislativo que le da origen no tendrá potencial invalidante de la totalidad de la ley, pero sí de determinados artículos.</w:t>
      </w:r>
    </w:p>
    <w:p w14:paraId="7F3054B7" w14:textId="77777777" w:rsidR="00D87543" w:rsidRPr="00F715E7" w:rsidRDefault="00D87543" w:rsidP="0098787A">
      <w:pPr>
        <w:pStyle w:val="Estilo1"/>
        <w:numPr>
          <w:ilvl w:val="0"/>
          <w:numId w:val="0"/>
        </w:numPr>
        <w:spacing w:before="0" w:after="0"/>
        <w:rPr>
          <w:sz w:val="26"/>
          <w:szCs w:val="26"/>
          <w:lang w:val="es-ES_tradnl"/>
        </w:rPr>
      </w:pPr>
    </w:p>
    <w:p w14:paraId="7C2EFBC5" w14:textId="77777777"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Por tanto, la decisión de si el vicio de ausencia de consulta tiene el potencial de invalidar toda la ley o solamente determinados preceptos legales, dependerá de si las normas que regulan a las comunidades indígenas y afromexicanas las tienen como objeto específico de su regulación en su integridad.</w:t>
      </w:r>
    </w:p>
    <w:p w14:paraId="317DA82F" w14:textId="77777777" w:rsidR="00D87543" w:rsidRPr="00F715E7" w:rsidRDefault="00D87543" w:rsidP="0098787A">
      <w:pPr>
        <w:pStyle w:val="Estilo1"/>
        <w:numPr>
          <w:ilvl w:val="0"/>
          <w:numId w:val="0"/>
        </w:numPr>
        <w:spacing w:before="0" w:after="0"/>
        <w:rPr>
          <w:sz w:val="26"/>
          <w:szCs w:val="26"/>
          <w:lang w:val="es-ES_tradnl"/>
        </w:rPr>
      </w:pPr>
    </w:p>
    <w:p w14:paraId="3CA9D10A" w14:textId="1C6276BD"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Asimismo, esta determinación que constituye una evolución en el criterio de est</w:t>
      </w:r>
      <w:r w:rsidR="004F5159" w:rsidRPr="00F715E7">
        <w:rPr>
          <w:sz w:val="26"/>
          <w:szCs w:val="26"/>
          <w:lang w:val="es-ES_tradnl"/>
        </w:rPr>
        <w:t>e Alto Tribunal</w:t>
      </w:r>
      <w:r w:rsidRPr="00F715E7">
        <w:rPr>
          <w:sz w:val="26"/>
          <w:szCs w:val="26"/>
          <w:lang w:val="es-ES_tradnl"/>
        </w:rPr>
        <w:t xml:space="preserve">, precisa que en el supuesto de que una norma o un ordenamiento general no esté específicamente relacionado con los grupos vulnerables que deben ser privilegiados con una consulta, esto es, que no se refieran única y exclusivamente a ellos, sino </w:t>
      </w:r>
      <w:r w:rsidR="004D22B4" w:rsidRPr="00F715E7">
        <w:rPr>
          <w:sz w:val="26"/>
          <w:szCs w:val="26"/>
          <w:lang w:val="es-ES_tradnl"/>
        </w:rPr>
        <w:t>al</w:t>
      </w:r>
      <w:r w:rsidRPr="00F715E7">
        <w:rPr>
          <w:sz w:val="26"/>
          <w:szCs w:val="26"/>
          <w:lang w:val="es-ES_tradnl"/>
        </w:rPr>
        <w:t xml:space="preserve"> contexto general </w:t>
      </w:r>
      <w:r w:rsidR="004D22B4" w:rsidRPr="00F715E7">
        <w:rPr>
          <w:sz w:val="26"/>
          <w:szCs w:val="26"/>
          <w:lang w:val="es-ES_tradnl"/>
        </w:rPr>
        <w:t>donde están incorporadas</w:t>
      </w:r>
      <w:r w:rsidR="004F5159" w:rsidRPr="00F715E7">
        <w:rPr>
          <w:sz w:val="26"/>
          <w:szCs w:val="26"/>
          <w:lang w:val="es-ES_tradnl"/>
        </w:rPr>
        <w:t>;</w:t>
      </w:r>
      <w:r w:rsidRPr="00F715E7">
        <w:rPr>
          <w:sz w:val="26"/>
          <w:szCs w:val="26"/>
          <w:lang w:val="es-ES_tradnl"/>
        </w:rPr>
        <w:t xml:space="preserve"> las normas por invalidar serán precisamente las que les </w:t>
      </w:r>
      <w:r w:rsidR="00642B72" w:rsidRPr="00F715E7">
        <w:rPr>
          <w:sz w:val="26"/>
          <w:szCs w:val="26"/>
          <w:lang w:val="es-ES_tradnl"/>
        </w:rPr>
        <w:t>afecten,</w:t>
      </w:r>
      <w:r w:rsidRPr="00F715E7">
        <w:rPr>
          <w:sz w:val="26"/>
          <w:szCs w:val="26"/>
          <w:lang w:val="es-ES_tradnl"/>
        </w:rPr>
        <w:t xml:space="preserve"> pero sin alcanzar a invalidar toda la ley. Por el contrario, cuando las </w:t>
      </w:r>
      <w:r w:rsidRPr="00F715E7">
        <w:rPr>
          <w:sz w:val="26"/>
          <w:szCs w:val="26"/>
          <w:lang w:val="es-ES_tradnl"/>
        </w:rPr>
        <w:lastRenderedPageBreak/>
        <w:t>normas se dirijan específicamente a estos grupos vulnerables, la falta de consulta invalidará todo ese ordenamiento.</w:t>
      </w:r>
    </w:p>
    <w:p w14:paraId="19B6B26C" w14:textId="77777777" w:rsidR="004F5159" w:rsidRPr="00F715E7" w:rsidRDefault="004F5159" w:rsidP="001E1EF8">
      <w:pPr>
        <w:pStyle w:val="Prrafodelista"/>
        <w:rPr>
          <w:sz w:val="26"/>
          <w:szCs w:val="26"/>
          <w:lang w:val="es-ES_tradnl"/>
        </w:rPr>
      </w:pPr>
    </w:p>
    <w:p w14:paraId="36E8BD66" w14:textId="33E5879E" w:rsidR="004F5159" w:rsidRPr="00F715E7" w:rsidRDefault="004F5159" w:rsidP="0098787A">
      <w:pPr>
        <w:pStyle w:val="Estilo1"/>
        <w:numPr>
          <w:ilvl w:val="0"/>
          <w:numId w:val="6"/>
        </w:numPr>
        <w:spacing w:before="0" w:after="0"/>
        <w:ind w:left="0"/>
        <w:rPr>
          <w:sz w:val="26"/>
          <w:szCs w:val="26"/>
          <w:lang w:val="es-ES_tradnl"/>
        </w:rPr>
      </w:pPr>
      <w:r w:rsidRPr="00F715E7">
        <w:rPr>
          <w:sz w:val="26"/>
          <w:szCs w:val="26"/>
          <w:lang w:val="es-ES_tradnl"/>
        </w:rPr>
        <w:t>Finalmente, en lo que concierne a lo que refiere el Partido de la Revolución Democrática, en el sentido de que no solo se vulneró el mandato constitucional y convencional en la materia,</w:t>
      </w:r>
      <w:r w:rsidR="00B75363" w:rsidRPr="00F715E7">
        <w:rPr>
          <w:sz w:val="26"/>
          <w:szCs w:val="26"/>
          <w:lang w:val="es-ES_tradnl"/>
        </w:rPr>
        <w:t xml:space="preserve"> por la falta de consulta a pueblos y comunidades indígenas y afrodescendientes,</w:t>
      </w:r>
      <w:r w:rsidRPr="00F715E7">
        <w:rPr>
          <w:sz w:val="26"/>
          <w:szCs w:val="26"/>
          <w:lang w:val="es-ES_tradnl"/>
        </w:rPr>
        <w:t xml:space="preserve"> sino </w:t>
      </w:r>
      <w:r w:rsidR="00B75363" w:rsidRPr="00F715E7">
        <w:rPr>
          <w:sz w:val="26"/>
          <w:szCs w:val="26"/>
          <w:lang w:val="es-ES_tradnl"/>
        </w:rPr>
        <w:t xml:space="preserve">también la </w:t>
      </w:r>
      <w:r w:rsidRPr="00F715E7">
        <w:rPr>
          <w:sz w:val="26"/>
          <w:szCs w:val="26"/>
          <w:lang w:val="es-ES_tradnl"/>
        </w:rPr>
        <w:t xml:space="preserve">determinación de este Tribunal Pleno, al resolver la Acción de Inconstitucionalidad </w:t>
      </w:r>
      <w:r w:rsidR="00B75363" w:rsidRPr="00F715E7">
        <w:rPr>
          <w:b/>
          <w:bCs/>
          <w:sz w:val="26"/>
          <w:szCs w:val="26"/>
          <w:lang w:val="es-ES_tradnl"/>
        </w:rPr>
        <w:t>241/2020</w:t>
      </w:r>
      <w:r w:rsidR="00B75363" w:rsidRPr="00F715E7">
        <w:rPr>
          <w:sz w:val="26"/>
          <w:szCs w:val="26"/>
          <w:lang w:val="es-ES_tradnl"/>
        </w:rPr>
        <w:t xml:space="preserve"> y sus acumuladas</w:t>
      </w:r>
      <w:r w:rsidR="0021723C">
        <w:rPr>
          <w:sz w:val="26"/>
          <w:szCs w:val="26"/>
          <w:lang w:val="es-ES_tradnl"/>
        </w:rPr>
        <w:t xml:space="preserve"> </w:t>
      </w:r>
      <w:r w:rsidR="0021723C" w:rsidRPr="00381028">
        <w:rPr>
          <w:b/>
          <w:bCs/>
          <w:sz w:val="26"/>
          <w:szCs w:val="26"/>
          <w:lang w:val="es-ES_tradnl"/>
        </w:rPr>
        <w:t>242/2020, 243/2020, 248/2020</w:t>
      </w:r>
      <w:r w:rsidR="0021723C">
        <w:rPr>
          <w:sz w:val="26"/>
          <w:szCs w:val="26"/>
          <w:lang w:val="es-ES_tradnl"/>
        </w:rPr>
        <w:t xml:space="preserve"> y </w:t>
      </w:r>
      <w:r w:rsidR="0021723C" w:rsidRPr="00381028">
        <w:rPr>
          <w:b/>
          <w:bCs/>
          <w:sz w:val="26"/>
          <w:szCs w:val="26"/>
          <w:lang w:val="es-ES_tradnl"/>
        </w:rPr>
        <w:t>251/2020</w:t>
      </w:r>
      <w:r w:rsidR="00B75363" w:rsidRPr="00F715E7">
        <w:rPr>
          <w:sz w:val="26"/>
          <w:szCs w:val="26"/>
          <w:lang w:val="es-ES_tradnl"/>
        </w:rPr>
        <w:t>, conviene destacar lo resuelto en dicho asunto.</w:t>
      </w:r>
    </w:p>
    <w:p w14:paraId="4F30CC28" w14:textId="77777777" w:rsidR="00B75363" w:rsidRPr="00F715E7" w:rsidRDefault="00B75363" w:rsidP="001E1EF8">
      <w:pPr>
        <w:pStyle w:val="Prrafodelista"/>
        <w:rPr>
          <w:sz w:val="26"/>
          <w:szCs w:val="26"/>
          <w:lang w:val="es-ES_tradnl"/>
        </w:rPr>
      </w:pPr>
    </w:p>
    <w:p w14:paraId="651D9680" w14:textId="5F4DDA02" w:rsidR="00B75363" w:rsidRPr="00F715E7" w:rsidRDefault="00B75363" w:rsidP="001E1EF8">
      <w:pPr>
        <w:pStyle w:val="Estilo1"/>
        <w:numPr>
          <w:ilvl w:val="0"/>
          <w:numId w:val="6"/>
        </w:numPr>
        <w:spacing w:before="0" w:after="0"/>
        <w:ind w:left="0"/>
        <w:rPr>
          <w:sz w:val="26"/>
          <w:szCs w:val="26"/>
          <w:lang w:val="es-ES_tradnl"/>
        </w:rPr>
      </w:pPr>
      <w:r w:rsidRPr="00F715E7">
        <w:rPr>
          <w:sz w:val="26"/>
          <w:szCs w:val="26"/>
          <w:lang w:val="es-ES_tradnl"/>
        </w:rPr>
        <w:t xml:space="preserve">En dicho asunto, en suplencia de la queja, este Tribunal Pleno consideró que “la adición del capítulo IV BIS. De los Pueblos y Comunidades Indígenas y Afromexicanas, artículos 17 Bis, 17 Ter y 17 </w:t>
      </w:r>
      <w:proofErr w:type="spellStart"/>
      <w:r w:rsidRPr="00F715E7">
        <w:rPr>
          <w:sz w:val="26"/>
          <w:szCs w:val="26"/>
          <w:lang w:val="es-ES_tradnl"/>
        </w:rPr>
        <w:t>Quater</w:t>
      </w:r>
      <w:proofErr w:type="spellEnd"/>
      <w:r w:rsidRPr="00F715E7">
        <w:rPr>
          <w:sz w:val="26"/>
          <w:szCs w:val="26"/>
          <w:lang w:val="es-ES_tradnl"/>
        </w:rPr>
        <w:t>, incide en la libre determinación y autonomía en la autoorganización y gobierno internos de los citados pueblos y comunidades”.</w:t>
      </w:r>
    </w:p>
    <w:p w14:paraId="3B2395C6" w14:textId="77777777" w:rsidR="00B75363" w:rsidRPr="00F715E7" w:rsidRDefault="00B75363" w:rsidP="001E1EF8">
      <w:pPr>
        <w:pStyle w:val="Estilo1"/>
        <w:numPr>
          <w:ilvl w:val="0"/>
          <w:numId w:val="0"/>
        </w:numPr>
        <w:spacing w:before="0" w:after="0"/>
        <w:ind w:left="567"/>
        <w:rPr>
          <w:sz w:val="26"/>
          <w:szCs w:val="26"/>
          <w:lang w:val="es-ES_tradnl"/>
        </w:rPr>
      </w:pPr>
    </w:p>
    <w:p w14:paraId="5F35AEA2" w14:textId="380011A9" w:rsidR="00B75363" w:rsidRPr="00F715E7" w:rsidRDefault="00B75363" w:rsidP="00B75363">
      <w:pPr>
        <w:pStyle w:val="Estilo1"/>
        <w:numPr>
          <w:ilvl w:val="0"/>
          <w:numId w:val="6"/>
        </w:numPr>
        <w:spacing w:before="0" w:after="0"/>
        <w:ind w:left="0"/>
        <w:rPr>
          <w:sz w:val="26"/>
          <w:szCs w:val="26"/>
          <w:lang w:val="es-ES_tradnl"/>
        </w:rPr>
      </w:pPr>
      <w:r w:rsidRPr="00F715E7">
        <w:rPr>
          <w:sz w:val="26"/>
          <w:szCs w:val="26"/>
          <w:lang w:val="es-ES_tradnl"/>
        </w:rPr>
        <w:t xml:space="preserve">Lo anterior, toda vez que </w:t>
      </w:r>
      <w:r w:rsidR="006932C2" w:rsidRPr="00F715E7">
        <w:rPr>
          <w:sz w:val="26"/>
          <w:szCs w:val="26"/>
          <w:lang w:val="es-ES_tradnl"/>
        </w:rPr>
        <w:t xml:space="preserve">las normas bajo </w:t>
      </w:r>
      <w:r w:rsidRPr="00F715E7">
        <w:rPr>
          <w:sz w:val="26"/>
          <w:szCs w:val="26"/>
          <w:lang w:val="es-ES_tradnl"/>
        </w:rPr>
        <w:t>análisis en dicho asunto, contenía previsiones</w:t>
      </w:r>
      <w:r w:rsidR="008C0663" w:rsidRPr="00F715E7">
        <w:rPr>
          <w:sz w:val="26"/>
          <w:szCs w:val="26"/>
          <w:lang w:val="es-ES_tradnl"/>
        </w:rPr>
        <w:t xml:space="preserve"> relacionadas, entre otras, con</w:t>
      </w:r>
      <w:r w:rsidR="006932C2" w:rsidRPr="00F715E7">
        <w:rPr>
          <w:sz w:val="26"/>
          <w:szCs w:val="26"/>
          <w:lang w:val="es-ES_tradnl"/>
        </w:rPr>
        <w:t>:</w:t>
      </w:r>
    </w:p>
    <w:p w14:paraId="75B25729" w14:textId="77777777" w:rsidR="00642B72" w:rsidRPr="00F715E7" w:rsidRDefault="00642B72" w:rsidP="00642B72">
      <w:pPr>
        <w:pStyle w:val="Estilo1"/>
        <w:numPr>
          <w:ilvl w:val="0"/>
          <w:numId w:val="0"/>
        </w:numPr>
        <w:spacing w:before="0" w:after="0"/>
        <w:rPr>
          <w:sz w:val="26"/>
          <w:szCs w:val="26"/>
          <w:lang w:val="es-ES_tradnl"/>
        </w:rPr>
      </w:pPr>
    </w:p>
    <w:p w14:paraId="7B40EEF5" w14:textId="7E878627" w:rsidR="006932C2" w:rsidRPr="00F715E7" w:rsidRDefault="006932C2" w:rsidP="00642B72">
      <w:pPr>
        <w:pStyle w:val="Estilo1"/>
        <w:numPr>
          <w:ilvl w:val="0"/>
          <w:numId w:val="13"/>
        </w:numPr>
        <w:spacing w:before="0" w:after="0"/>
        <w:ind w:left="709" w:hanging="425"/>
        <w:rPr>
          <w:sz w:val="26"/>
          <w:szCs w:val="26"/>
          <w:lang w:val="es-ES_tradnl"/>
        </w:rPr>
      </w:pPr>
      <w:r w:rsidRPr="00F715E7">
        <w:rPr>
          <w:sz w:val="26"/>
          <w:szCs w:val="26"/>
          <w:lang w:val="es-ES_tradnl"/>
        </w:rPr>
        <w:t>La elección de representantes ante los ayuntamientos, así como a las autoridades o representantes para el ejercicio de sus formas de gobierno interno con pleno respeto a la paridad de género de manera gradual.</w:t>
      </w:r>
    </w:p>
    <w:p w14:paraId="239AAC0A" w14:textId="4A466E40" w:rsidR="006932C2" w:rsidRPr="00F715E7" w:rsidRDefault="006932C2" w:rsidP="00642B72">
      <w:pPr>
        <w:pStyle w:val="Estilo1"/>
        <w:numPr>
          <w:ilvl w:val="0"/>
          <w:numId w:val="13"/>
        </w:numPr>
        <w:spacing w:before="0" w:after="0"/>
        <w:ind w:left="709" w:hanging="425"/>
        <w:rPr>
          <w:sz w:val="26"/>
          <w:szCs w:val="26"/>
          <w:lang w:val="es-ES_tradnl"/>
        </w:rPr>
      </w:pPr>
      <w:r w:rsidRPr="00F715E7">
        <w:rPr>
          <w:sz w:val="26"/>
          <w:szCs w:val="26"/>
          <w:lang w:val="es-ES_tradnl"/>
        </w:rPr>
        <w:t>La garantía de su libre determinación, autonomía, desarrollo e inclusión, asegurando la paridad de género, en asuntos relacionados con ellos.</w:t>
      </w:r>
    </w:p>
    <w:p w14:paraId="297977A9" w14:textId="6DAEFED2" w:rsidR="00B75363" w:rsidRPr="00F715E7" w:rsidRDefault="006932C2" w:rsidP="00642B72">
      <w:pPr>
        <w:pStyle w:val="Estilo1"/>
        <w:numPr>
          <w:ilvl w:val="0"/>
          <w:numId w:val="13"/>
        </w:numPr>
        <w:spacing w:before="0" w:after="0"/>
        <w:ind w:left="709" w:hanging="425"/>
        <w:rPr>
          <w:sz w:val="26"/>
          <w:szCs w:val="26"/>
          <w:lang w:val="es-ES_tradnl"/>
        </w:rPr>
      </w:pPr>
      <w:r w:rsidRPr="00F715E7">
        <w:rPr>
          <w:sz w:val="26"/>
          <w:szCs w:val="26"/>
          <w:lang w:val="es-ES_tradnl"/>
        </w:rPr>
        <w:lastRenderedPageBreak/>
        <w:t>La forma en que el Organismo Público Local Electoral debe adoptar las medidas necesarias para la organización, acompañamiento y apoyo a las comunidades, pueblos indígenas y afromexicanas, en coordinación con las autoridades tradicionales, nacionales y locales, en el caso, a través de lineamientos que garanticen la participación política de los habitantes en un marco de progresividad, igualdad e interculturalidad.</w:t>
      </w:r>
    </w:p>
    <w:p w14:paraId="6D72A8AF" w14:textId="77777777" w:rsidR="006932C2" w:rsidRPr="00F715E7" w:rsidRDefault="006932C2" w:rsidP="001E1EF8">
      <w:pPr>
        <w:pStyle w:val="Estilo1"/>
        <w:numPr>
          <w:ilvl w:val="0"/>
          <w:numId w:val="0"/>
        </w:numPr>
        <w:spacing w:before="0" w:after="0"/>
        <w:ind w:left="1080"/>
        <w:rPr>
          <w:sz w:val="26"/>
          <w:szCs w:val="26"/>
          <w:lang w:val="es-ES_tradnl"/>
        </w:rPr>
      </w:pPr>
    </w:p>
    <w:p w14:paraId="69C89609" w14:textId="085E99E8" w:rsidR="00B75363" w:rsidRPr="00F715E7" w:rsidRDefault="006932C2" w:rsidP="001E1EF8">
      <w:pPr>
        <w:pStyle w:val="Estilo1"/>
        <w:numPr>
          <w:ilvl w:val="0"/>
          <w:numId w:val="6"/>
        </w:numPr>
        <w:spacing w:before="0" w:after="0"/>
        <w:ind w:left="0"/>
        <w:rPr>
          <w:sz w:val="26"/>
          <w:szCs w:val="26"/>
          <w:lang w:val="es-ES_tradnl"/>
        </w:rPr>
      </w:pPr>
      <w:r w:rsidRPr="00F715E7">
        <w:rPr>
          <w:sz w:val="26"/>
          <w:szCs w:val="26"/>
          <w:lang w:val="es-ES_tradnl"/>
        </w:rPr>
        <w:t>Por ello</w:t>
      </w:r>
      <w:r w:rsidR="00B75363" w:rsidRPr="00F715E7">
        <w:rPr>
          <w:sz w:val="26"/>
          <w:szCs w:val="26"/>
          <w:lang w:val="es-ES_tradnl"/>
        </w:rPr>
        <w:t xml:space="preserve">, </w:t>
      </w:r>
      <w:r w:rsidR="008C0663" w:rsidRPr="00F715E7">
        <w:rPr>
          <w:sz w:val="26"/>
          <w:szCs w:val="26"/>
          <w:lang w:val="es-ES_tradnl"/>
        </w:rPr>
        <w:t xml:space="preserve">este Máximo Tribunal determinó que, al no haberse llevado a cabo la consulta respectiva, el proceso legislativo que dio origen a la norma impugnada vulneró </w:t>
      </w:r>
      <w:r w:rsidR="00B75363" w:rsidRPr="00F715E7">
        <w:rPr>
          <w:sz w:val="26"/>
          <w:szCs w:val="26"/>
          <w:lang w:val="es-ES_tradnl"/>
        </w:rPr>
        <w:t xml:space="preserve">lo </w:t>
      </w:r>
      <w:r w:rsidR="008C0663" w:rsidRPr="00F715E7">
        <w:rPr>
          <w:sz w:val="26"/>
          <w:szCs w:val="26"/>
          <w:lang w:val="es-ES_tradnl"/>
        </w:rPr>
        <w:t>dispue</w:t>
      </w:r>
      <w:r w:rsidR="00B75363" w:rsidRPr="00F715E7">
        <w:rPr>
          <w:sz w:val="26"/>
          <w:szCs w:val="26"/>
          <w:lang w:val="es-ES_tradnl"/>
        </w:rPr>
        <w:t>sto en los artículos 1</w:t>
      </w:r>
      <w:r w:rsidR="008C0663" w:rsidRPr="00F715E7">
        <w:rPr>
          <w:sz w:val="26"/>
          <w:szCs w:val="26"/>
          <w:lang w:val="es-ES_tradnl"/>
        </w:rPr>
        <w:t>°</w:t>
      </w:r>
      <w:r w:rsidR="00B75363" w:rsidRPr="00F715E7">
        <w:rPr>
          <w:sz w:val="26"/>
          <w:szCs w:val="26"/>
          <w:lang w:val="es-ES_tradnl"/>
        </w:rPr>
        <w:t xml:space="preserve"> y 2</w:t>
      </w:r>
      <w:r w:rsidR="008C0663" w:rsidRPr="00F715E7">
        <w:rPr>
          <w:sz w:val="26"/>
          <w:szCs w:val="26"/>
          <w:lang w:val="es-ES_tradnl"/>
        </w:rPr>
        <w:t>°</w:t>
      </w:r>
      <w:r w:rsidR="00B75363" w:rsidRPr="00F715E7">
        <w:rPr>
          <w:sz w:val="26"/>
          <w:szCs w:val="26"/>
          <w:lang w:val="es-ES_tradnl"/>
        </w:rPr>
        <w:t xml:space="preserve"> de la Constitución </w:t>
      </w:r>
      <w:r w:rsidR="008C0663" w:rsidRPr="00F715E7">
        <w:rPr>
          <w:sz w:val="26"/>
          <w:szCs w:val="26"/>
          <w:lang w:val="es-ES_tradnl"/>
        </w:rPr>
        <w:t>Federal</w:t>
      </w:r>
      <w:r w:rsidR="00B75363" w:rsidRPr="00F715E7">
        <w:rPr>
          <w:sz w:val="26"/>
          <w:szCs w:val="26"/>
          <w:lang w:val="es-ES_tradnl"/>
        </w:rPr>
        <w:t xml:space="preserve">, así como </w:t>
      </w:r>
      <w:r w:rsidR="008C0663" w:rsidRPr="00F715E7">
        <w:rPr>
          <w:sz w:val="26"/>
          <w:szCs w:val="26"/>
          <w:lang w:val="es-ES_tradnl"/>
        </w:rPr>
        <w:t xml:space="preserve">los </w:t>
      </w:r>
      <w:r w:rsidR="0021723C">
        <w:rPr>
          <w:sz w:val="26"/>
          <w:szCs w:val="26"/>
          <w:lang w:val="es-ES_tradnl"/>
        </w:rPr>
        <w:t>numerales</w:t>
      </w:r>
      <w:r w:rsidR="008C0663" w:rsidRPr="00F715E7">
        <w:rPr>
          <w:sz w:val="26"/>
          <w:szCs w:val="26"/>
          <w:lang w:val="es-ES_tradnl"/>
        </w:rPr>
        <w:t xml:space="preserve"> </w:t>
      </w:r>
      <w:r w:rsidR="00B75363" w:rsidRPr="00F715E7">
        <w:rPr>
          <w:sz w:val="26"/>
          <w:szCs w:val="26"/>
          <w:lang w:val="es-ES_tradnl"/>
        </w:rPr>
        <w:t>6 y 7 del Convenio 169 de la Organización Internacional del Trabajo sobre Pueblos Indígenas y Tribales en Países Independientes</w:t>
      </w:r>
      <w:r w:rsidRPr="00F715E7">
        <w:rPr>
          <w:sz w:val="26"/>
          <w:szCs w:val="26"/>
          <w:lang w:val="es-ES_tradnl"/>
        </w:rPr>
        <w:t>; invalidando con ello la totalidad del decreto objeto de análisis en dicha Acción de Inconstitucionalidad.</w:t>
      </w:r>
    </w:p>
    <w:p w14:paraId="59C54ECA" w14:textId="77777777" w:rsidR="00D87543" w:rsidRPr="00F715E7" w:rsidRDefault="00D87543" w:rsidP="0098787A">
      <w:pPr>
        <w:pStyle w:val="Estilo1"/>
        <w:numPr>
          <w:ilvl w:val="0"/>
          <w:numId w:val="0"/>
        </w:numPr>
        <w:spacing w:before="0" w:after="0"/>
        <w:rPr>
          <w:sz w:val="26"/>
          <w:szCs w:val="26"/>
          <w:lang w:val="es-ES_tradnl"/>
        </w:rPr>
      </w:pPr>
    </w:p>
    <w:p w14:paraId="0C30C3AA" w14:textId="38685C9C" w:rsidR="00C171AC" w:rsidRPr="00F715E7" w:rsidRDefault="006F3C5F" w:rsidP="0098787A">
      <w:pPr>
        <w:pStyle w:val="Estilo1"/>
        <w:numPr>
          <w:ilvl w:val="0"/>
          <w:numId w:val="6"/>
        </w:numPr>
        <w:spacing w:before="0" w:after="0"/>
        <w:ind w:left="0"/>
        <w:rPr>
          <w:sz w:val="26"/>
          <w:szCs w:val="26"/>
          <w:lang w:val="es-ES_tradnl"/>
        </w:rPr>
      </w:pPr>
      <w:r w:rsidRPr="00F715E7">
        <w:rPr>
          <w:sz w:val="26"/>
          <w:szCs w:val="26"/>
          <w:lang w:val="es-ES_tradnl"/>
        </w:rPr>
        <w:t xml:space="preserve">En contraste con lo decidido en esa ocasión, </w:t>
      </w:r>
      <w:r w:rsidR="00D87543" w:rsidRPr="00F715E7">
        <w:rPr>
          <w:sz w:val="26"/>
          <w:szCs w:val="26"/>
          <w:lang w:val="es-ES_tradnl"/>
        </w:rPr>
        <w:t xml:space="preserve">el presente asunto </w:t>
      </w:r>
      <w:r w:rsidRPr="00F715E7">
        <w:rPr>
          <w:sz w:val="26"/>
          <w:szCs w:val="26"/>
          <w:lang w:val="es-ES_tradnl"/>
        </w:rPr>
        <w:t>atañe el análisis del</w:t>
      </w:r>
      <w:r w:rsidR="00BB382C" w:rsidRPr="00F715E7">
        <w:rPr>
          <w:sz w:val="26"/>
          <w:szCs w:val="26"/>
          <w:lang w:val="es-ES_tradnl"/>
        </w:rPr>
        <w:t xml:space="preserve"> artículo 50, apartado A, fracción I, </w:t>
      </w:r>
      <w:r w:rsidRPr="00F715E7">
        <w:rPr>
          <w:sz w:val="26"/>
          <w:szCs w:val="26"/>
          <w:lang w:val="es-ES_tradnl"/>
        </w:rPr>
        <w:t xml:space="preserve">impugnado, </w:t>
      </w:r>
      <w:r w:rsidR="00BB382C" w:rsidRPr="00F715E7">
        <w:rPr>
          <w:sz w:val="26"/>
          <w:szCs w:val="26"/>
          <w:lang w:val="es-ES_tradnl"/>
        </w:rPr>
        <w:t>del Código Electoral para el Estado de Veracruz</w:t>
      </w:r>
      <w:r w:rsidRPr="00F715E7">
        <w:rPr>
          <w:sz w:val="26"/>
          <w:szCs w:val="26"/>
          <w:lang w:val="es-ES_tradnl"/>
        </w:rPr>
        <w:t>, el cual establece lo siguiente.</w:t>
      </w:r>
    </w:p>
    <w:p w14:paraId="241EA6D8" w14:textId="77777777" w:rsidR="001D5231" w:rsidRPr="00F715E7" w:rsidRDefault="001D5231" w:rsidP="0098787A">
      <w:pPr>
        <w:pStyle w:val="Estilo1"/>
        <w:numPr>
          <w:ilvl w:val="0"/>
          <w:numId w:val="0"/>
        </w:numPr>
        <w:spacing w:before="0" w:after="0"/>
        <w:rPr>
          <w:sz w:val="26"/>
          <w:szCs w:val="26"/>
          <w:lang w:val="es-ES_tradnl"/>
        </w:rPr>
      </w:pPr>
    </w:p>
    <w:p w14:paraId="574E6235" w14:textId="47B67574" w:rsidR="001D5231" w:rsidRPr="00F715E7" w:rsidRDefault="001D5231" w:rsidP="0098787A">
      <w:pPr>
        <w:pStyle w:val="Estilo"/>
        <w:ind w:left="709" w:right="618"/>
        <w:rPr>
          <w:rFonts w:ascii="Arial" w:hAnsi="Arial" w:cs="Arial"/>
        </w:rPr>
      </w:pPr>
      <w:r w:rsidRPr="00F715E7">
        <w:rPr>
          <w:rFonts w:ascii="Arial" w:hAnsi="Arial" w:cs="Arial"/>
          <w:b/>
          <w:bCs/>
        </w:rPr>
        <w:t>Artículo 50.</w:t>
      </w:r>
      <w:r w:rsidRPr="00F715E7">
        <w:rPr>
          <w:rFonts w:ascii="Arial" w:hAnsi="Arial" w:cs="Arial"/>
        </w:rPr>
        <w:t xml:space="preserve"> Los partidos políticos tendrán derecho al financiamiento público de sus actividades, estructura, sueldos y salarios, independientemente de las demás prerrogativas otorgadas en esta Ley, conforme a las disposiciones siguientes:</w:t>
      </w:r>
    </w:p>
    <w:p w14:paraId="3DC4ADB2" w14:textId="77777777" w:rsidR="001D5231" w:rsidRPr="00F715E7" w:rsidRDefault="001D5231" w:rsidP="0098787A">
      <w:pPr>
        <w:pStyle w:val="Estilo"/>
        <w:ind w:left="709" w:right="618"/>
        <w:rPr>
          <w:rFonts w:ascii="Arial" w:hAnsi="Arial" w:cs="Arial"/>
        </w:rPr>
      </w:pPr>
    </w:p>
    <w:p w14:paraId="751A7B32" w14:textId="63749F84" w:rsidR="001D5231" w:rsidRPr="00F715E7" w:rsidRDefault="001D5231" w:rsidP="0098787A">
      <w:pPr>
        <w:pStyle w:val="Estilo"/>
        <w:ind w:left="709" w:right="618"/>
        <w:rPr>
          <w:rFonts w:ascii="Arial" w:hAnsi="Arial" w:cs="Arial"/>
        </w:rPr>
      </w:pPr>
      <w:r w:rsidRPr="00F715E7">
        <w:rPr>
          <w:rFonts w:ascii="Arial" w:hAnsi="Arial" w:cs="Arial"/>
        </w:rPr>
        <w:t>A. Para el sostenimiento de actividades ordinarias permanentes, el Consejo General del Instituto Electoral Veracruzano determinará anualmente el monto total por distribuir entre los partidos políticos, conforme a lo siguiente:</w:t>
      </w:r>
    </w:p>
    <w:p w14:paraId="0C186937" w14:textId="77777777" w:rsidR="00784EE4" w:rsidRPr="00F715E7" w:rsidRDefault="00784EE4" w:rsidP="0098787A">
      <w:pPr>
        <w:pStyle w:val="Estilo"/>
        <w:ind w:left="709" w:right="618"/>
        <w:rPr>
          <w:rFonts w:ascii="Arial" w:hAnsi="Arial" w:cs="Arial"/>
        </w:rPr>
      </w:pPr>
    </w:p>
    <w:p w14:paraId="103EE11A" w14:textId="0FB82F59" w:rsidR="001D5231" w:rsidRPr="00F715E7" w:rsidRDefault="00784EE4" w:rsidP="0098787A">
      <w:pPr>
        <w:pStyle w:val="Estilo"/>
        <w:ind w:left="709" w:right="618"/>
        <w:rPr>
          <w:lang w:val="es-ES_tradnl"/>
        </w:rPr>
      </w:pPr>
      <w:r w:rsidRPr="00F715E7">
        <w:rPr>
          <w:rFonts w:ascii="Arial" w:hAnsi="Arial" w:cs="Arial"/>
          <w:b/>
          <w:bCs/>
        </w:rPr>
        <w:t>I.</w:t>
      </w:r>
      <w:r w:rsidRPr="00F715E7">
        <w:rPr>
          <w:rFonts w:ascii="Arial" w:hAnsi="Arial" w:cs="Arial"/>
        </w:rPr>
        <w:t xml:space="preserve"> El financiamiento público para el sostenimiento de las actividades ordinarias permanentes de los partidos políticos locales, se fijará anualmente en los términos establecidos por la Ley General de Partidos Políticos. </w:t>
      </w:r>
      <w:r w:rsidRPr="00F715E7">
        <w:rPr>
          <w:rFonts w:ascii="Arial" w:hAnsi="Arial" w:cs="Arial"/>
          <w:b/>
          <w:bCs/>
        </w:rPr>
        <w:t xml:space="preserve">El financiamiento público para el sostenimiento de las actividades ordinarias permanentes de los partidos políticos nacionales se fijará anualmente, multiplicando el número total de ciudadanos inscritos en el padrón electoral del Estado a la fecha de corte de julio de cada año, por </w:t>
      </w:r>
      <w:r w:rsidRPr="00F715E7">
        <w:rPr>
          <w:rFonts w:ascii="Arial" w:hAnsi="Arial" w:cs="Arial"/>
          <w:b/>
          <w:bCs/>
        </w:rPr>
        <w:lastRenderedPageBreak/>
        <w:t xml:space="preserve">el treinta y </w:t>
      </w:r>
      <w:proofErr w:type="gramStart"/>
      <w:r w:rsidRPr="00F715E7">
        <w:rPr>
          <w:rFonts w:ascii="Arial" w:hAnsi="Arial" w:cs="Arial"/>
          <w:b/>
          <w:bCs/>
        </w:rPr>
        <w:t>dos</w:t>
      </w:r>
      <w:r w:rsidR="008408E9" w:rsidRPr="00F715E7">
        <w:rPr>
          <w:rFonts w:ascii="Arial" w:hAnsi="Arial" w:cs="Arial"/>
          <w:b/>
          <w:bCs/>
        </w:rPr>
        <w:t xml:space="preserve"> </w:t>
      </w:r>
      <w:r w:rsidRPr="00F715E7">
        <w:rPr>
          <w:rFonts w:ascii="Arial" w:hAnsi="Arial" w:cs="Arial"/>
          <w:b/>
          <w:bCs/>
        </w:rPr>
        <w:t>punto</w:t>
      </w:r>
      <w:proofErr w:type="gramEnd"/>
      <w:r w:rsidRPr="00F715E7">
        <w:rPr>
          <w:rFonts w:ascii="Arial" w:hAnsi="Arial" w:cs="Arial"/>
          <w:b/>
          <w:bCs/>
        </w:rPr>
        <w:t xml:space="preserve"> cinco por ciento (32.5%) del valor diario de la Unidad de Medida y Actualización vigente</w:t>
      </w:r>
      <w:r w:rsidR="00EF35A8" w:rsidRPr="00F715E7">
        <w:rPr>
          <w:rFonts w:ascii="Arial" w:hAnsi="Arial" w:cs="Arial"/>
          <w:b/>
          <w:bCs/>
        </w:rPr>
        <w:t>. (…)</w:t>
      </w:r>
    </w:p>
    <w:p w14:paraId="0D1AF3E9" w14:textId="77777777" w:rsidR="00D87543" w:rsidRPr="00F715E7" w:rsidRDefault="00D87543" w:rsidP="0098787A">
      <w:pPr>
        <w:pStyle w:val="Estilo1"/>
        <w:numPr>
          <w:ilvl w:val="0"/>
          <w:numId w:val="0"/>
        </w:numPr>
        <w:spacing w:before="0" w:after="0"/>
        <w:rPr>
          <w:sz w:val="26"/>
          <w:szCs w:val="26"/>
          <w:lang w:val="es-ES_tradnl"/>
        </w:rPr>
      </w:pPr>
    </w:p>
    <w:p w14:paraId="5E0BDDDA" w14:textId="0C528870"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Visto el contenido de la disposici</w:t>
      </w:r>
      <w:r w:rsidR="00C171AC" w:rsidRPr="00F715E7">
        <w:rPr>
          <w:sz w:val="26"/>
          <w:szCs w:val="26"/>
          <w:lang w:val="es-ES_tradnl"/>
        </w:rPr>
        <w:t>ón</w:t>
      </w:r>
      <w:r w:rsidRPr="00F715E7">
        <w:rPr>
          <w:sz w:val="26"/>
          <w:szCs w:val="26"/>
          <w:lang w:val="es-ES_tradnl"/>
        </w:rPr>
        <w:t xml:space="preserve"> impugnada, este Tribunal Pleno considera</w:t>
      </w:r>
      <w:r w:rsidR="00642B72" w:rsidRPr="00F715E7">
        <w:rPr>
          <w:sz w:val="26"/>
          <w:szCs w:val="26"/>
          <w:lang w:val="es-ES_tradnl"/>
        </w:rPr>
        <w:t>, como se adelantó,</w:t>
      </w:r>
      <w:r w:rsidRPr="00F715E7">
        <w:rPr>
          <w:sz w:val="26"/>
          <w:szCs w:val="26"/>
          <w:lang w:val="es-ES_tradnl"/>
        </w:rPr>
        <w:t xml:space="preserve"> que el agravio en estudio resulta infundado.</w:t>
      </w:r>
    </w:p>
    <w:p w14:paraId="084AD47B" w14:textId="77777777" w:rsidR="00D87543" w:rsidRPr="00F715E7" w:rsidRDefault="00D87543" w:rsidP="0098787A">
      <w:pPr>
        <w:pStyle w:val="Estilo1"/>
        <w:numPr>
          <w:ilvl w:val="0"/>
          <w:numId w:val="0"/>
        </w:numPr>
        <w:spacing w:before="0" w:after="0"/>
        <w:rPr>
          <w:sz w:val="26"/>
          <w:szCs w:val="26"/>
          <w:lang w:val="es-ES_tradnl"/>
        </w:rPr>
      </w:pPr>
    </w:p>
    <w:p w14:paraId="39C635D2" w14:textId="5548D627"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Est</w:t>
      </w:r>
      <w:r w:rsidR="00360066" w:rsidRPr="00F715E7">
        <w:rPr>
          <w:sz w:val="26"/>
          <w:szCs w:val="26"/>
          <w:lang w:val="es-ES_tradnl"/>
        </w:rPr>
        <w:t>e</w:t>
      </w:r>
      <w:r w:rsidRPr="00F715E7">
        <w:rPr>
          <w:sz w:val="26"/>
          <w:szCs w:val="26"/>
          <w:lang w:val="es-ES_tradnl"/>
        </w:rPr>
        <w:t xml:space="preserve"> precepto establece </w:t>
      </w:r>
      <w:r w:rsidR="00717CDE" w:rsidRPr="00F715E7">
        <w:rPr>
          <w:sz w:val="26"/>
          <w:szCs w:val="26"/>
          <w:lang w:val="es-ES_tradnl"/>
        </w:rPr>
        <w:t>reglas para la determinación del financiamiento público local para las actividades ordinarias permanentes de los partidos políticos nacionales.</w:t>
      </w:r>
    </w:p>
    <w:p w14:paraId="040B898B" w14:textId="77777777" w:rsidR="00D87543" w:rsidRPr="00F715E7" w:rsidRDefault="00D87543" w:rsidP="0098787A">
      <w:pPr>
        <w:pStyle w:val="Estilo1"/>
        <w:numPr>
          <w:ilvl w:val="0"/>
          <w:numId w:val="0"/>
        </w:numPr>
        <w:spacing w:before="0" w:after="0"/>
        <w:rPr>
          <w:sz w:val="26"/>
          <w:szCs w:val="26"/>
          <w:lang w:val="es-ES_tradnl"/>
        </w:rPr>
      </w:pPr>
    </w:p>
    <w:p w14:paraId="49A83B37" w14:textId="648AB9EA" w:rsidR="00D87543" w:rsidRPr="00F715E7" w:rsidRDefault="00642B72" w:rsidP="0098787A">
      <w:pPr>
        <w:pStyle w:val="Estilo1"/>
        <w:numPr>
          <w:ilvl w:val="0"/>
          <w:numId w:val="6"/>
        </w:numPr>
        <w:spacing w:before="0" w:after="0"/>
        <w:ind w:left="0"/>
        <w:rPr>
          <w:sz w:val="26"/>
          <w:szCs w:val="26"/>
          <w:lang w:val="es-ES_tradnl"/>
        </w:rPr>
      </w:pPr>
      <w:r w:rsidRPr="00F715E7">
        <w:rPr>
          <w:sz w:val="26"/>
          <w:szCs w:val="26"/>
          <w:lang w:val="es-ES_tradnl"/>
        </w:rPr>
        <w:t>Así,</w:t>
      </w:r>
      <w:r w:rsidR="006F3C5F" w:rsidRPr="00F715E7">
        <w:rPr>
          <w:sz w:val="26"/>
          <w:szCs w:val="26"/>
          <w:lang w:val="es-ES_tradnl"/>
        </w:rPr>
        <w:t xml:space="preserve"> se puede observar que </w:t>
      </w:r>
      <w:r w:rsidR="00D87543" w:rsidRPr="00F715E7">
        <w:rPr>
          <w:sz w:val="26"/>
          <w:szCs w:val="26"/>
          <w:lang w:val="es-ES_tradnl"/>
        </w:rPr>
        <w:t xml:space="preserve">no establece algún tipo de prerrogativa o regla especial dirigida </w:t>
      </w:r>
      <w:r w:rsidR="00717CDE" w:rsidRPr="00F715E7">
        <w:rPr>
          <w:sz w:val="26"/>
          <w:szCs w:val="26"/>
          <w:lang w:val="es-ES_tradnl"/>
        </w:rPr>
        <w:t>a</w:t>
      </w:r>
      <w:r w:rsidR="00D87543" w:rsidRPr="00F715E7">
        <w:rPr>
          <w:sz w:val="26"/>
          <w:szCs w:val="26"/>
          <w:lang w:val="es-ES_tradnl"/>
        </w:rPr>
        <w:t xml:space="preserve"> los pueblos y comunidades indígenas o afromexicanas, ya que el propósito </w:t>
      </w:r>
      <w:r w:rsidR="00717CDE" w:rsidRPr="00F715E7">
        <w:rPr>
          <w:sz w:val="26"/>
          <w:szCs w:val="26"/>
          <w:lang w:val="es-ES_tradnl"/>
        </w:rPr>
        <w:t xml:space="preserve">es únicamente </w:t>
      </w:r>
      <w:r w:rsidR="00EF0F5C" w:rsidRPr="00F715E7">
        <w:rPr>
          <w:sz w:val="26"/>
          <w:szCs w:val="26"/>
          <w:lang w:val="es-ES_tradnl"/>
        </w:rPr>
        <w:t xml:space="preserve">regular </w:t>
      </w:r>
      <w:r w:rsidR="00B46C72" w:rsidRPr="00F715E7">
        <w:rPr>
          <w:sz w:val="26"/>
          <w:szCs w:val="26"/>
          <w:lang w:val="es-ES_tradnl"/>
        </w:rPr>
        <w:t xml:space="preserve">lo relativo a la determinación del presupuesto que debe ser asignado a dichos </w:t>
      </w:r>
      <w:r w:rsidR="006F3C5F" w:rsidRPr="00F715E7">
        <w:rPr>
          <w:sz w:val="26"/>
          <w:szCs w:val="26"/>
          <w:lang w:val="es-ES_tradnl"/>
        </w:rPr>
        <w:t xml:space="preserve">partidos </w:t>
      </w:r>
      <w:r w:rsidR="00B46C72" w:rsidRPr="00F715E7">
        <w:rPr>
          <w:sz w:val="26"/>
          <w:szCs w:val="26"/>
          <w:lang w:val="es-ES_tradnl"/>
        </w:rPr>
        <w:t>políticos.</w:t>
      </w:r>
    </w:p>
    <w:p w14:paraId="55F47CC7" w14:textId="77777777" w:rsidR="00D87543" w:rsidRPr="00F715E7" w:rsidRDefault="00D87543" w:rsidP="0098787A">
      <w:pPr>
        <w:pStyle w:val="Estilo1"/>
        <w:numPr>
          <w:ilvl w:val="0"/>
          <w:numId w:val="0"/>
        </w:numPr>
        <w:spacing w:before="0" w:after="0"/>
        <w:rPr>
          <w:sz w:val="26"/>
          <w:szCs w:val="26"/>
          <w:lang w:val="es-ES_tradnl"/>
        </w:rPr>
      </w:pPr>
    </w:p>
    <w:p w14:paraId="1F63C94B" w14:textId="192104C0"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Si bien este objetivo es susceptible de incluir a las comunidades indígenas o afromexicanas ubicadas en esta entidad federativa, lo cierto es que no se advierte que en el caso particular y por esos motivos, éstas se ubiquen en una especial situación frente al orden jurídico para que ejercieran su derecho a ser consultadas durante el procedimiento legislativo del que eman</w:t>
      </w:r>
      <w:r w:rsidR="003B67B5" w:rsidRPr="00F715E7">
        <w:rPr>
          <w:sz w:val="26"/>
          <w:szCs w:val="26"/>
          <w:lang w:val="es-ES_tradnl"/>
        </w:rPr>
        <w:t>ó</w:t>
      </w:r>
      <w:r w:rsidRPr="00F715E7">
        <w:rPr>
          <w:sz w:val="26"/>
          <w:szCs w:val="26"/>
          <w:lang w:val="es-ES_tradnl"/>
        </w:rPr>
        <w:t xml:space="preserve"> </w:t>
      </w:r>
      <w:r w:rsidR="003B67B5" w:rsidRPr="00F715E7">
        <w:rPr>
          <w:sz w:val="26"/>
          <w:szCs w:val="26"/>
          <w:lang w:val="es-ES_tradnl"/>
        </w:rPr>
        <w:t>el</w:t>
      </w:r>
      <w:r w:rsidRPr="00F715E7">
        <w:rPr>
          <w:sz w:val="26"/>
          <w:szCs w:val="26"/>
          <w:lang w:val="es-ES_tradnl"/>
        </w:rPr>
        <w:t xml:space="preserve"> precepto legal impugnado</w:t>
      </w:r>
      <w:r w:rsidR="006F3C5F" w:rsidRPr="00F715E7">
        <w:rPr>
          <w:sz w:val="26"/>
          <w:szCs w:val="26"/>
          <w:lang w:val="es-ES_tradnl"/>
        </w:rPr>
        <w:t>.</w:t>
      </w:r>
      <w:r w:rsidRPr="00F715E7">
        <w:rPr>
          <w:sz w:val="26"/>
          <w:szCs w:val="26"/>
          <w:lang w:val="es-ES_tradnl"/>
        </w:rPr>
        <w:t xml:space="preserve"> </w:t>
      </w:r>
      <w:r w:rsidR="006F3C5F" w:rsidRPr="00F715E7">
        <w:rPr>
          <w:sz w:val="26"/>
          <w:szCs w:val="26"/>
          <w:lang w:val="es-ES_tradnl"/>
        </w:rPr>
        <w:t>E</w:t>
      </w:r>
      <w:r w:rsidR="003B67B5" w:rsidRPr="00F715E7">
        <w:rPr>
          <w:sz w:val="26"/>
          <w:szCs w:val="26"/>
          <w:lang w:val="es-ES_tradnl"/>
        </w:rPr>
        <w:t xml:space="preserve">n todo caso su aplicación </w:t>
      </w:r>
      <w:r w:rsidRPr="00F715E7">
        <w:rPr>
          <w:sz w:val="26"/>
          <w:szCs w:val="26"/>
          <w:lang w:val="es-ES_tradnl"/>
        </w:rPr>
        <w:t xml:space="preserve">impacta de manera uniforme a todos los habitantes de la entidad federativa, independientemente de su auto adscripción o pertenencia a alguna de estas comunidades. </w:t>
      </w:r>
    </w:p>
    <w:p w14:paraId="522E0468" w14:textId="77777777" w:rsidR="00D87543" w:rsidRPr="00F715E7" w:rsidRDefault="00D87543" w:rsidP="0098787A">
      <w:pPr>
        <w:pStyle w:val="Estilo1"/>
        <w:numPr>
          <w:ilvl w:val="0"/>
          <w:numId w:val="0"/>
        </w:numPr>
        <w:spacing w:before="0" w:after="0"/>
        <w:rPr>
          <w:sz w:val="26"/>
          <w:szCs w:val="26"/>
          <w:lang w:val="es-ES_tradnl"/>
        </w:rPr>
      </w:pPr>
    </w:p>
    <w:p w14:paraId="4A6BF288" w14:textId="3B7D7365" w:rsidR="00D87543" w:rsidRPr="00F715E7" w:rsidRDefault="006F3C5F" w:rsidP="0098787A">
      <w:pPr>
        <w:pStyle w:val="Estilo1"/>
        <w:numPr>
          <w:ilvl w:val="0"/>
          <w:numId w:val="6"/>
        </w:numPr>
        <w:spacing w:before="0" w:after="0"/>
        <w:ind w:left="0"/>
        <w:rPr>
          <w:sz w:val="26"/>
          <w:szCs w:val="26"/>
          <w:lang w:val="es-ES_tradnl"/>
        </w:rPr>
      </w:pPr>
      <w:r w:rsidRPr="00F715E7">
        <w:rPr>
          <w:sz w:val="26"/>
          <w:szCs w:val="26"/>
          <w:lang w:val="es-ES_tradnl"/>
        </w:rPr>
        <w:t>En ese sentido,</w:t>
      </w:r>
      <w:r w:rsidR="003B67B5" w:rsidRPr="00F715E7">
        <w:rPr>
          <w:sz w:val="26"/>
          <w:szCs w:val="26"/>
          <w:lang w:val="es-ES_tradnl"/>
        </w:rPr>
        <w:t xml:space="preserve"> </w:t>
      </w:r>
      <w:r w:rsidR="00D87543" w:rsidRPr="00F715E7">
        <w:rPr>
          <w:sz w:val="26"/>
          <w:szCs w:val="26"/>
          <w:lang w:val="es-ES_tradnl"/>
        </w:rPr>
        <w:t xml:space="preserve">la legislación en comento no es susceptible de afectar su derecho a la autodeterminación, a la preservación de su cultura e identidad, al uso y goce de sus recursos o a algún otro derecho protegido por la Constitución Federal o por los tratados internacionales, que hiciera </w:t>
      </w:r>
      <w:r w:rsidR="00D87543" w:rsidRPr="00F715E7">
        <w:rPr>
          <w:sz w:val="26"/>
          <w:szCs w:val="26"/>
          <w:lang w:val="es-ES_tradnl"/>
        </w:rPr>
        <w:lastRenderedPageBreak/>
        <w:t>necesario se incorporara una fase adicional dentro del procedimiento legislativo que le dio origen, a fin de consultar a las comunidades indígenas y afromexicanas.</w:t>
      </w:r>
    </w:p>
    <w:p w14:paraId="2A4422B3" w14:textId="77777777" w:rsidR="00D87543" w:rsidRPr="00F715E7" w:rsidRDefault="00D87543" w:rsidP="0098787A">
      <w:pPr>
        <w:pStyle w:val="Estilo1"/>
        <w:numPr>
          <w:ilvl w:val="0"/>
          <w:numId w:val="0"/>
        </w:numPr>
        <w:spacing w:before="0" w:after="0"/>
        <w:rPr>
          <w:sz w:val="26"/>
          <w:szCs w:val="26"/>
          <w:lang w:val="es-ES_tradnl"/>
        </w:rPr>
      </w:pPr>
    </w:p>
    <w:p w14:paraId="12F3F7F5" w14:textId="3BAB451C" w:rsidR="00D87543" w:rsidRPr="00F715E7" w:rsidRDefault="00D87543" w:rsidP="0098787A">
      <w:pPr>
        <w:pStyle w:val="Estilo1"/>
        <w:numPr>
          <w:ilvl w:val="0"/>
          <w:numId w:val="6"/>
        </w:numPr>
        <w:spacing w:before="0" w:after="0"/>
        <w:ind w:left="0"/>
        <w:rPr>
          <w:sz w:val="26"/>
          <w:szCs w:val="26"/>
          <w:lang w:val="es-ES_tradnl"/>
        </w:rPr>
      </w:pPr>
      <w:r w:rsidRPr="00F715E7">
        <w:rPr>
          <w:sz w:val="26"/>
          <w:szCs w:val="26"/>
          <w:lang w:val="es-ES_tradnl"/>
        </w:rPr>
        <w:t xml:space="preserve">En consecuencia, resulta </w:t>
      </w:r>
      <w:r w:rsidRPr="00F715E7">
        <w:rPr>
          <w:b/>
          <w:bCs/>
          <w:sz w:val="26"/>
          <w:szCs w:val="26"/>
          <w:lang w:val="es-ES_tradnl"/>
        </w:rPr>
        <w:t>infundado</w:t>
      </w:r>
      <w:r w:rsidRPr="00F715E7">
        <w:rPr>
          <w:sz w:val="26"/>
          <w:szCs w:val="26"/>
          <w:lang w:val="es-ES_tradnl"/>
        </w:rPr>
        <w:t xml:space="preserve"> </w:t>
      </w:r>
      <w:r w:rsidR="00014189" w:rsidRPr="00F715E7">
        <w:rPr>
          <w:sz w:val="26"/>
          <w:szCs w:val="26"/>
          <w:lang w:val="es-ES_tradnl"/>
        </w:rPr>
        <w:t>el</w:t>
      </w:r>
      <w:r w:rsidRPr="00F715E7">
        <w:rPr>
          <w:sz w:val="26"/>
          <w:szCs w:val="26"/>
          <w:lang w:val="es-ES_tradnl"/>
        </w:rPr>
        <w:t xml:space="preserve"> argumento de invalidez planteado.</w:t>
      </w:r>
    </w:p>
    <w:p w14:paraId="347C3E0F" w14:textId="77777777" w:rsidR="00D87543" w:rsidRPr="00F715E7" w:rsidRDefault="00D87543" w:rsidP="0098787A">
      <w:pPr>
        <w:pStyle w:val="corte4fondo"/>
        <w:ind w:firstLine="0"/>
        <w:rPr>
          <w:rFonts w:cs="Arial"/>
          <w:b/>
          <w:sz w:val="26"/>
          <w:szCs w:val="26"/>
        </w:rPr>
      </w:pPr>
    </w:p>
    <w:p w14:paraId="283D1930" w14:textId="1235DF6C" w:rsidR="00A0628A" w:rsidRPr="00F715E7" w:rsidRDefault="00A0628A" w:rsidP="00A0628A">
      <w:pPr>
        <w:pStyle w:val="Estilo1"/>
        <w:numPr>
          <w:ilvl w:val="0"/>
          <w:numId w:val="6"/>
        </w:numPr>
        <w:spacing w:before="0" w:after="0"/>
        <w:ind w:left="0"/>
        <w:rPr>
          <w:sz w:val="26"/>
          <w:szCs w:val="26"/>
        </w:rPr>
      </w:pPr>
      <w:r w:rsidRPr="00F715E7">
        <w:rPr>
          <w:sz w:val="26"/>
          <w:szCs w:val="26"/>
        </w:rPr>
        <w:t>Estas consideraciones son vinculantes al haberse aprobado por unanimidad de votos.</w:t>
      </w:r>
    </w:p>
    <w:p w14:paraId="6300A690" w14:textId="77777777" w:rsidR="00A0628A" w:rsidRPr="00F715E7" w:rsidRDefault="00A0628A" w:rsidP="00144DBD">
      <w:pPr>
        <w:pStyle w:val="Estilo1"/>
        <w:numPr>
          <w:ilvl w:val="0"/>
          <w:numId w:val="0"/>
        </w:numPr>
        <w:spacing w:before="0" w:after="0"/>
        <w:rPr>
          <w:sz w:val="26"/>
          <w:szCs w:val="26"/>
        </w:rPr>
      </w:pPr>
    </w:p>
    <w:p w14:paraId="5BC804C1" w14:textId="77777777" w:rsidR="002A2681" w:rsidRPr="00F715E7" w:rsidRDefault="001A00D8" w:rsidP="0098787A">
      <w:pPr>
        <w:pStyle w:val="Estilo1"/>
        <w:numPr>
          <w:ilvl w:val="0"/>
          <w:numId w:val="0"/>
        </w:numPr>
        <w:spacing w:before="0" w:after="0"/>
        <w:rPr>
          <w:b/>
          <w:sz w:val="26"/>
          <w:szCs w:val="26"/>
        </w:rPr>
      </w:pPr>
      <w:r w:rsidRPr="00F715E7">
        <w:rPr>
          <w:b/>
          <w:bCs/>
          <w:sz w:val="26"/>
          <w:szCs w:val="26"/>
        </w:rPr>
        <w:t>VI.</w:t>
      </w:r>
      <w:r w:rsidR="002A2681" w:rsidRPr="00F715E7">
        <w:rPr>
          <w:b/>
          <w:bCs/>
          <w:sz w:val="26"/>
          <w:szCs w:val="26"/>
        </w:rPr>
        <w:t>2</w:t>
      </w:r>
      <w:r w:rsidR="00746C09" w:rsidRPr="00F715E7">
        <w:rPr>
          <w:b/>
          <w:bCs/>
          <w:sz w:val="26"/>
          <w:szCs w:val="26"/>
        </w:rPr>
        <w:t>.</w:t>
      </w:r>
      <w:r w:rsidR="00746C09" w:rsidRPr="00F715E7">
        <w:rPr>
          <w:b/>
          <w:sz w:val="26"/>
          <w:szCs w:val="26"/>
        </w:rPr>
        <w:t xml:space="preserve"> Violación a la veda electoral prevista en el artículo 105, fracción II, penúltimo párrafo, de la Constitución Política de los Estados Unidos Mexicanos. </w:t>
      </w:r>
    </w:p>
    <w:p w14:paraId="236B3A7B" w14:textId="77777777" w:rsidR="002A2681" w:rsidRPr="00F715E7" w:rsidRDefault="002A2681" w:rsidP="0098787A">
      <w:pPr>
        <w:pStyle w:val="Prrafodelista"/>
        <w:spacing w:before="0" w:after="0"/>
        <w:rPr>
          <w:sz w:val="26"/>
          <w:szCs w:val="26"/>
        </w:rPr>
      </w:pPr>
    </w:p>
    <w:p w14:paraId="6CCA7A12" w14:textId="5275884E" w:rsidR="001A00D8" w:rsidRPr="00F715E7" w:rsidRDefault="00746C09" w:rsidP="001B2DD5">
      <w:pPr>
        <w:pStyle w:val="Estilo1"/>
        <w:numPr>
          <w:ilvl w:val="0"/>
          <w:numId w:val="6"/>
        </w:numPr>
        <w:spacing w:before="0" w:after="0"/>
        <w:ind w:left="0"/>
        <w:rPr>
          <w:b/>
          <w:sz w:val="26"/>
          <w:szCs w:val="26"/>
        </w:rPr>
      </w:pPr>
      <w:r w:rsidRPr="00F715E7">
        <w:rPr>
          <w:sz w:val="26"/>
          <w:szCs w:val="26"/>
        </w:rPr>
        <w:t xml:space="preserve">Los partidos accionantes argumentan que el </w:t>
      </w:r>
      <w:r w:rsidR="0079173E" w:rsidRPr="00F715E7">
        <w:rPr>
          <w:sz w:val="26"/>
          <w:szCs w:val="26"/>
        </w:rPr>
        <w:t xml:space="preserve">Decreto número 2, publicado el veintiocho de diciembre de dos mil veintiuno en la Gaceta Oficial del Estado de Veracruz de Ignacio de la Llave, </w:t>
      </w:r>
      <w:r w:rsidRPr="00F715E7">
        <w:rPr>
          <w:sz w:val="26"/>
          <w:szCs w:val="26"/>
          <w:lang w:val="es-ES"/>
        </w:rPr>
        <w:t xml:space="preserve">viola el artículo 105, fracción II, penúltimo párrafo, constitucional, porque </w:t>
      </w:r>
      <w:r w:rsidR="002229EA" w:rsidRPr="00F715E7">
        <w:rPr>
          <w:sz w:val="26"/>
          <w:szCs w:val="26"/>
          <w:lang w:val="es-ES"/>
        </w:rPr>
        <w:t xml:space="preserve">el proceso electoral no se consideraba concluido, </w:t>
      </w:r>
      <w:r w:rsidR="001A00D8" w:rsidRPr="00F715E7">
        <w:rPr>
          <w:sz w:val="26"/>
          <w:szCs w:val="26"/>
          <w:lang w:val="es-ES"/>
        </w:rPr>
        <w:t>dado que la cadena impugnativa aún se encontraba en proceso</w:t>
      </w:r>
      <w:r w:rsidR="00D94187" w:rsidRPr="00F715E7">
        <w:rPr>
          <w:sz w:val="26"/>
          <w:szCs w:val="26"/>
          <w:lang w:val="es-ES"/>
        </w:rPr>
        <w:t>. Ello,</w:t>
      </w:r>
      <w:r w:rsidR="001A00D8" w:rsidRPr="00F715E7">
        <w:rPr>
          <w:sz w:val="26"/>
          <w:szCs w:val="26"/>
          <w:lang w:val="es-ES"/>
        </w:rPr>
        <w:t xml:space="preserve"> pues no se habían resuelto todos los asuntos relativos a las elecciones municipales, ya que se emitieron Puntos de Acuerdo en los que se nombran Concejos Municipales y convocatorias a Elecciones Extraordinarias en los Municipios de Jesús Carranza, Amatitlán, </w:t>
      </w:r>
      <w:proofErr w:type="spellStart"/>
      <w:r w:rsidR="001A00D8" w:rsidRPr="00F715E7">
        <w:rPr>
          <w:sz w:val="26"/>
          <w:szCs w:val="26"/>
          <w:lang w:val="es-ES"/>
        </w:rPr>
        <w:t>Chiconamel</w:t>
      </w:r>
      <w:proofErr w:type="spellEnd"/>
      <w:r w:rsidR="001A00D8" w:rsidRPr="00F715E7">
        <w:rPr>
          <w:sz w:val="26"/>
          <w:szCs w:val="26"/>
          <w:lang w:val="es-ES"/>
        </w:rPr>
        <w:t xml:space="preserve"> y Tlacotepec de Mejía.</w:t>
      </w:r>
    </w:p>
    <w:p w14:paraId="01FAEA63" w14:textId="77777777" w:rsidR="0091701E" w:rsidRPr="00F715E7" w:rsidRDefault="0091701E" w:rsidP="0091701E">
      <w:pPr>
        <w:pStyle w:val="Estilo1"/>
        <w:numPr>
          <w:ilvl w:val="0"/>
          <w:numId w:val="0"/>
        </w:numPr>
        <w:spacing w:before="0" w:after="0"/>
        <w:rPr>
          <w:b/>
          <w:sz w:val="26"/>
          <w:szCs w:val="26"/>
        </w:rPr>
      </w:pPr>
    </w:p>
    <w:p w14:paraId="0134678F" w14:textId="77777777" w:rsidR="0091701E" w:rsidRPr="00F715E7" w:rsidRDefault="0091701E" w:rsidP="0091701E">
      <w:pPr>
        <w:pStyle w:val="Estilo1"/>
        <w:numPr>
          <w:ilvl w:val="0"/>
          <w:numId w:val="6"/>
        </w:numPr>
        <w:spacing w:before="0" w:after="0"/>
        <w:ind w:left="0"/>
        <w:rPr>
          <w:sz w:val="26"/>
          <w:szCs w:val="26"/>
          <w:lang w:val="es-ES"/>
        </w:rPr>
      </w:pPr>
      <w:r w:rsidRPr="00F715E7">
        <w:rPr>
          <w:sz w:val="26"/>
          <w:szCs w:val="26"/>
          <w:lang w:val="es-ES"/>
        </w:rPr>
        <w:t xml:space="preserve">Indican que no es suficiente reconocer la validez de la reforma impugnada, el hecho de que en el artículo Segundo Transitorio del decreto impugnado se establezca que las disposiciones entrarán en vigor el día </w:t>
      </w:r>
      <w:r w:rsidRPr="00F715E7">
        <w:rPr>
          <w:sz w:val="26"/>
          <w:szCs w:val="26"/>
          <w:lang w:val="es-ES"/>
        </w:rPr>
        <w:lastRenderedPageBreak/>
        <w:t xml:space="preserve">primero del año dos mil veintidós, pues se estarían dejando fuera las elecciones extraordinarias que quedaron pendientes. </w:t>
      </w:r>
    </w:p>
    <w:p w14:paraId="23FD1AC6" w14:textId="77777777" w:rsidR="002D7EE5" w:rsidRPr="00F715E7" w:rsidRDefault="002D7EE5" w:rsidP="001B2DD5">
      <w:pPr>
        <w:pStyle w:val="Estilo1"/>
        <w:numPr>
          <w:ilvl w:val="0"/>
          <w:numId w:val="0"/>
        </w:numPr>
        <w:spacing w:before="0" w:after="0"/>
        <w:rPr>
          <w:b/>
          <w:sz w:val="26"/>
          <w:szCs w:val="26"/>
        </w:rPr>
      </w:pPr>
    </w:p>
    <w:p w14:paraId="54842572" w14:textId="2F4EB683" w:rsidR="00B34174" w:rsidRPr="00F715E7" w:rsidRDefault="00D94187" w:rsidP="001B2DD5">
      <w:pPr>
        <w:pStyle w:val="Estilo1"/>
        <w:numPr>
          <w:ilvl w:val="0"/>
          <w:numId w:val="6"/>
        </w:numPr>
        <w:spacing w:before="0" w:after="0"/>
        <w:ind w:left="0"/>
        <w:rPr>
          <w:b/>
          <w:sz w:val="26"/>
          <w:szCs w:val="26"/>
        </w:rPr>
      </w:pPr>
      <w:r w:rsidRPr="00F715E7">
        <w:rPr>
          <w:sz w:val="26"/>
          <w:szCs w:val="26"/>
          <w:lang w:val="es-ES"/>
        </w:rPr>
        <w:t>Así, s</w:t>
      </w:r>
      <w:r w:rsidR="00F475AD" w:rsidRPr="00F715E7">
        <w:rPr>
          <w:sz w:val="26"/>
          <w:szCs w:val="26"/>
          <w:lang w:val="es-ES"/>
        </w:rPr>
        <w:t xml:space="preserve">ostienen </w:t>
      </w:r>
      <w:r w:rsidR="00746C09" w:rsidRPr="00F715E7">
        <w:rPr>
          <w:sz w:val="26"/>
          <w:szCs w:val="26"/>
          <w:lang w:val="es-ES"/>
        </w:rPr>
        <w:t xml:space="preserve">que </w:t>
      </w:r>
      <w:r w:rsidR="003161D7" w:rsidRPr="00F715E7">
        <w:rPr>
          <w:sz w:val="26"/>
          <w:szCs w:val="26"/>
          <w:lang w:val="es-ES"/>
        </w:rPr>
        <w:t xml:space="preserve">el legislador local no podía realizar </w:t>
      </w:r>
      <w:r w:rsidR="00746C09" w:rsidRPr="00F715E7">
        <w:rPr>
          <w:sz w:val="26"/>
          <w:szCs w:val="26"/>
          <w:lang w:val="es-ES"/>
        </w:rPr>
        <w:t xml:space="preserve">la reducción </w:t>
      </w:r>
      <w:r w:rsidR="001224F8" w:rsidRPr="00F715E7">
        <w:rPr>
          <w:sz w:val="26"/>
          <w:szCs w:val="26"/>
          <w:lang w:val="es-ES"/>
        </w:rPr>
        <w:t xml:space="preserve">a un 32.5% </w:t>
      </w:r>
      <w:r w:rsidR="003161D7" w:rsidRPr="00F715E7">
        <w:rPr>
          <w:sz w:val="26"/>
          <w:szCs w:val="26"/>
          <w:lang w:val="es-ES"/>
        </w:rPr>
        <w:t>d</w:t>
      </w:r>
      <w:r w:rsidR="001224F8" w:rsidRPr="00F715E7">
        <w:rPr>
          <w:sz w:val="26"/>
          <w:szCs w:val="26"/>
          <w:lang w:val="es-ES"/>
        </w:rPr>
        <w:t>el financiamiento de los partidos políticos nacionales para el sostenimiento de sus actividades ordinarias</w:t>
      </w:r>
      <w:r w:rsidR="003161D7" w:rsidRPr="00F715E7">
        <w:rPr>
          <w:sz w:val="26"/>
          <w:szCs w:val="26"/>
          <w:lang w:val="es-ES"/>
        </w:rPr>
        <w:t xml:space="preserve">, </w:t>
      </w:r>
      <w:r w:rsidR="00F475AD" w:rsidRPr="00F715E7">
        <w:rPr>
          <w:sz w:val="26"/>
          <w:szCs w:val="26"/>
          <w:lang w:val="es-ES"/>
        </w:rPr>
        <w:t>hasta que el proceso extraordinario concluyera en su totalidad</w:t>
      </w:r>
      <w:r w:rsidR="00662D61" w:rsidRPr="00F715E7">
        <w:rPr>
          <w:sz w:val="26"/>
          <w:szCs w:val="26"/>
          <w:lang w:val="es-ES"/>
        </w:rPr>
        <w:t xml:space="preserve">; pues </w:t>
      </w:r>
      <w:r w:rsidR="00B34174" w:rsidRPr="00F715E7">
        <w:rPr>
          <w:sz w:val="26"/>
          <w:szCs w:val="26"/>
          <w:lang w:val="es-ES"/>
        </w:rPr>
        <w:t>consideran que</w:t>
      </w:r>
      <w:r w:rsidR="00662D61" w:rsidRPr="00F715E7">
        <w:rPr>
          <w:sz w:val="26"/>
          <w:szCs w:val="26"/>
          <w:lang w:val="es-ES"/>
        </w:rPr>
        <w:t>,</w:t>
      </w:r>
      <w:r w:rsidR="00B34174" w:rsidRPr="00F715E7">
        <w:rPr>
          <w:sz w:val="26"/>
          <w:szCs w:val="26"/>
          <w:lang w:val="es-ES"/>
        </w:rPr>
        <w:t xml:space="preserve"> </w:t>
      </w:r>
      <w:r w:rsidR="00F475AD" w:rsidRPr="00F715E7">
        <w:rPr>
          <w:sz w:val="26"/>
          <w:szCs w:val="26"/>
          <w:lang w:val="es-ES"/>
        </w:rPr>
        <w:t xml:space="preserve">durante ese transcurso del tiempo, el legislador estaba impedido para modificar dicho concepto. </w:t>
      </w:r>
    </w:p>
    <w:p w14:paraId="540F1FEB" w14:textId="77777777" w:rsidR="00D94187" w:rsidRPr="00F715E7" w:rsidRDefault="00D94187" w:rsidP="001B2DD5">
      <w:pPr>
        <w:pStyle w:val="Prrafodelista"/>
        <w:spacing w:before="0" w:after="0" w:line="360" w:lineRule="auto"/>
        <w:rPr>
          <w:b/>
          <w:sz w:val="26"/>
          <w:szCs w:val="26"/>
        </w:rPr>
      </w:pPr>
    </w:p>
    <w:p w14:paraId="623C9F39" w14:textId="1A9EB895" w:rsidR="00D94187" w:rsidRPr="00381028" w:rsidRDefault="00D94187" w:rsidP="00BB5186">
      <w:pPr>
        <w:pStyle w:val="Estilo1"/>
        <w:numPr>
          <w:ilvl w:val="0"/>
          <w:numId w:val="6"/>
        </w:numPr>
        <w:tabs>
          <w:tab w:val="left" w:pos="567"/>
        </w:tabs>
        <w:spacing w:before="0" w:after="0"/>
        <w:ind w:left="0"/>
        <w:rPr>
          <w:sz w:val="26"/>
          <w:szCs w:val="26"/>
        </w:rPr>
      </w:pPr>
      <w:r w:rsidRPr="00381028">
        <w:rPr>
          <w:sz w:val="26"/>
          <w:szCs w:val="26"/>
        </w:rPr>
        <w:t xml:space="preserve">En la misma línea señalan que el Congreso del Estado de Veracruz de Ignacio de la Llave no cumplió con uno de los efectos de la sentencia emitida en la Acción de Inconstitucionalidad </w:t>
      </w:r>
      <w:r w:rsidRPr="00381028">
        <w:rPr>
          <w:b/>
          <w:bCs/>
          <w:sz w:val="26"/>
          <w:szCs w:val="26"/>
        </w:rPr>
        <w:t>241/2020</w:t>
      </w:r>
      <w:r w:rsidRPr="00381028">
        <w:rPr>
          <w:sz w:val="26"/>
          <w:szCs w:val="26"/>
        </w:rPr>
        <w:t xml:space="preserve"> </w:t>
      </w:r>
      <w:r w:rsidR="00381028" w:rsidRPr="00381028">
        <w:rPr>
          <w:sz w:val="26"/>
          <w:szCs w:val="26"/>
          <w:lang w:val="es-ES_tradnl"/>
        </w:rPr>
        <w:t xml:space="preserve">y sus acumuladas </w:t>
      </w:r>
      <w:r w:rsidR="00381028" w:rsidRPr="00381028">
        <w:rPr>
          <w:b/>
          <w:bCs/>
          <w:sz w:val="26"/>
          <w:szCs w:val="26"/>
          <w:lang w:val="es-ES_tradnl"/>
        </w:rPr>
        <w:t>242/2020, 243/2020, 248/2020</w:t>
      </w:r>
      <w:r w:rsidR="00381028" w:rsidRPr="00381028">
        <w:rPr>
          <w:sz w:val="26"/>
          <w:szCs w:val="26"/>
          <w:lang w:val="es-ES_tradnl"/>
        </w:rPr>
        <w:t xml:space="preserve"> y </w:t>
      </w:r>
      <w:r w:rsidR="00381028" w:rsidRPr="00381028">
        <w:rPr>
          <w:b/>
          <w:bCs/>
          <w:sz w:val="26"/>
          <w:szCs w:val="26"/>
          <w:lang w:val="es-ES_tradnl"/>
        </w:rPr>
        <w:t>251/2020</w:t>
      </w:r>
      <w:r w:rsidR="00381028" w:rsidRPr="00381028">
        <w:rPr>
          <w:sz w:val="26"/>
          <w:szCs w:val="26"/>
          <w:lang w:val="es-ES_tradnl"/>
        </w:rPr>
        <w:t>,</w:t>
      </w:r>
      <w:r w:rsidRPr="00F715E7">
        <w:rPr>
          <w:rStyle w:val="Refdenotaalpie"/>
          <w:sz w:val="26"/>
          <w:szCs w:val="26"/>
        </w:rPr>
        <w:footnoteReference w:id="36"/>
      </w:r>
      <w:r w:rsidRPr="00381028">
        <w:rPr>
          <w:sz w:val="26"/>
          <w:szCs w:val="26"/>
        </w:rPr>
        <w:t xml:space="preserve"> consistente en la restricción contenida en el referido artículo 105, fracción II, penúltimo párrafo, de la Constitución Federal.</w:t>
      </w:r>
    </w:p>
    <w:p w14:paraId="30E12C81" w14:textId="77777777" w:rsidR="00B34174" w:rsidRPr="00F715E7" w:rsidRDefault="00B34174" w:rsidP="0098787A">
      <w:pPr>
        <w:pStyle w:val="Estilo1"/>
        <w:numPr>
          <w:ilvl w:val="0"/>
          <w:numId w:val="0"/>
        </w:numPr>
        <w:spacing w:before="0" w:after="0"/>
        <w:rPr>
          <w:b/>
          <w:sz w:val="26"/>
          <w:szCs w:val="26"/>
        </w:rPr>
      </w:pPr>
    </w:p>
    <w:p w14:paraId="109565D4" w14:textId="77777777" w:rsidR="00746C09" w:rsidRPr="00F715E7" w:rsidRDefault="00746C09" w:rsidP="0098787A">
      <w:pPr>
        <w:pStyle w:val="Estilo1"/>
        <w:numPr>
          <w:ilvl w:val="0"/>
          <w:numId w:val="6"/>
        </w:numPr>
        <w:spacing w:before="0" w:after="0"/>
        <w:ind w:left="0"/>
        <w:rPr>
          <w:b/>
          <w:sz w:val="26"/>
          <w:szCs w:val="26"/>
        </w:rPr>
      </w:pPr>
      <w:r w:rsidRPr="00F715E7">
        <w:rPr>
          <w:bCs/>
          <w:sz w:val="26"/>
          <w:szCs w:val="26"/>
        </w:rPr>
        <w:t xml:space="preserve">Para dar respuesta al concepto de invalidez de los partidos accionantes, en primer lugar, este Pleno hará referencia al parámetro de control constitucional que establece </w:t>
      </w:r>
      <w:r w:rsidRPr="00F715E7">
        <w:rPr>
          <w:sz w:val="26"/>
          <w:szCs w:val="26"/>
          <w:lang w:val="es-ES"/>
        </w:rPr>
        <w:t>los</w:t>
      </w:r>
      <w:r w:rsidRPr="00F715E7">
        <w:rPr>
          <w:bCs/>
          <w:sz w:val="26"/>
          <w:szCs w:val="26"/>
        </w:rPr>
        <w:t xml:space="preserve"> elementos de la “veda electoral” y, en segundo lugar, se realizará el análisis del caso concreto. </w:t>
      </w:r>
    </w:p>
    <w:p w14:paraId="668DEF53" w14:textId="77777777" w:rsidR="00075622" w:rsidRPr="00F715E7" w:rsidRDefault="00075622" w:rsidP="001E1EF8">
      <w:pPr>
        <w:pStyle w:val="Prrafodelista"/>
        <w:rPr>
          <w:sz w:val="26"/>
          <w:szCs w:val="26"/>
        </w:rPr>
      </w:pPr>
    </w:p>
    <w:p w14:paraId="3F4DDFF2" w14:textId="6964EF2F" w:rsidR="00746C09" w:rsidRPr="00F715E7" w:rsidRDefault="00746C09" w:rsidP="001E1EF8">
      <w:pPr>
        <w:pStyle w:val="Prrafodelista"/>
        <w:spacing w:before="0" w:after="0"/>
        <w:jc w:val="center"/>
        <w:rPr>
          <w:b/>
          <w:bCs/>
          <w:color w:val="222A35" w:themeColor="text2" w:themeShade="80"/>
          <w:sz w:val="26"/>
          <w:szCs w:val="26"/>
        </w:rPr>
      </w:pPr>
      <w:r w:rsidRPr="00F715E7">
        <w:rPr>
          <w:b/>
          <w:bCs/>
          <w:color w:val="222A35" w:themeColor="text2" w:themeShade="80"/>
          <w:sz w:val="26"/>
          <w:szCs w:val="26"/>
        </w:rPr>
        <w:t xml:space="preserve">Parámetro de </w:t>
      </w:r>
      <w:r w:rsidR="004D22B4" w:rsidRPr="00F715E7">
        <w:rPr>
          <w:b/>
          <w:bCs/>
          <w:color w:val="222A35" w:themeColor="text2" w:themeShade="80"/>
          <w:sz w:val="26"/>
          <w:szCs w:val="26"/>
        </w:rPr>
        <w:t xml:space="preserve">regularidad </w:t>
      </w:r>
      <w:r w:rsidRPr="00F715E7">
        <w:rPr>
          <w:b/>
          <w:bCs/>
          <w:color w:val="222A35" w:themeColor="text2" w:themeShade="80"/>
          <w:sz w:val="26"/>
          <w:szCs w:val="26"/>
        </w:rPr>
        <w:t>constitucional</w:t>
      </w:r>
      <w:r w:rsidR="00646564">
        <w:rPr>
          <w:b/>
          <w:bCs/>
          <w:color w:val="222A35" w:themeColor="text2" w:themeShade="80"/>
          <w:sz w:val="26"/>
          <w:szCs w:val="26"/>
        </w:rPr>
        <w:t>.</w:t>
      </w:r>
    </w:p>
    <w:p w14:paraId="29952926" w14:textId="77777777" w:rsidR="00746C09" w:rsidRPr="00F715E7" w:rsidRDefault="00746C09" w:rsidP="001E1EF8">
      <w:pPr>
        <w:pStyle w:val="Prrafodelista"/>
        <w:spacing w:before="0" w:after="0"/>
        <w:rPr>
          <w:sz w:val="26"/>
          <w:szCs w:val="26"/>
        </w:rPr>
      </w:pPr>
      <w:bookmarkStart w:id="20" w:name="_Hlk79498484"/>
    </w:p>
    <w:p w14:paraId="08E7152B" w14:textId="4C9D26C9" w:rsidR="00746C09" w:rsidRPr="00F715E7" w:rsidRDefault="00746C09" w:rsidP="0098787A">
      <w:pPr>
        <w:pStyle w:val="Estilo1"/>
        <w:numPr>
          <w:ilvl w:val="0"/>
          <w:numId w:val="6"/>
        </w:numPr>
        <w:spacing w:before="0" w:after="0"/>
        <w:ind w:left="0"/>
        <w:rPr>
          <w:b/>
          <w:sz w:val="26"/>
          <w:szCs w:val="26"/>
        </w:rPr>
      </w:pPr>
      <w:r w:rsidRPr="00F715E7">
        <w:rPr>
          <w:sz w:val="26"/>
          <w:szCs w:val="26"/>
        </w:rPr>
        <w:t xml:space="preserve">El artículo 105, fracción II, párrafo penúltimo, de la Constitución </w:t>
      </w:r>
      <w:r w:rsidR="004B31DC">
        <w:rPr>
          <w:sz w:val="26"/>
          <w:szCs w:val="26"/>
        </w:rPr>
        <w:t>F</w:t>
      </w:r>
      <w:r w:rsidRPr="00F715E7">
        <w:rPr>
          <w:sz w:val="26"/>
          <w:szCs w:val="26"/>
        </w:rPr>
        <w:t>ederal, es del tenor siguiente:</w:t>
      </w:r>
    </w:p>
    <w:p w14:paraId="47E7D629" w14:textId="77777777" w:rsidR="00B533CE" w:rsidRPr="00F715E7" w:rsidRDefault="00B533CE" w:rsidP="0098787A">
      <w:pPr>
        <w:pStyle w:val="Estilo1"/>
        <w:numPr>
          <w:ilvl w:val="0"/>
          <w:numId w:val="0"/>
        </w:numPr>
        <w:spacing w:before="0" w:after="0"/>
        <w:rPr>
          <w:b/>
          <w:sz w:val="26"/>
          <w:szCs w:val="26"/>
        </w:rPr>
      </w:pPr>
    </w:p>
    <w:p w14:paraId="2423BE15" w14:textId="77777777" w:rsidR="00746C09" w:rsidRPr="00F715E7" w:rsidRDefault="00746C09" w:rsidP="0098787A">
      <w:pPr>
        <w:pStyle w:val="corte5transcripcionCarCarCarCarCarCarCarCar"/>
        <w:tabs>
          <w:tab w:val="left" w:pos="142"/>
        </w:tabs>
        <w:spacing w:line="259" w:lineRule="auto"/>
        <w:ind w:left="720" w:rightChars="177" w:right="496"/>
        <w:contextualSpacing/>
        <w:rPr>
          <w:rFonts w:cs="Arial"/>
          <w:b w:val="0"/>
          <w:i w:val="0"/>
          <w:sz w:val="22"/>
          <w:szCs w:val="22"/>
        </w:rPr>
      </w:pPr>
      <w:r w:rsidRPr="00F715E7">
        <w:rPr>
          <w:rFonts w:cs="Arial"/>
          <w:i w:val="0"/>
          <w:sz w:val="22"/>
          <w:szCs w:val="22"/>
        </w:rPr>
        <w:t>Artículo 105</w:t>
      </w:r>
      <w:r w:rsidRPr="00F715E7">
        <w:rPr>
          <w:rFonts w:cs="Arial"/>
          <w:b w:val="0"/>
          <w:i w:val="0"/>
          <w:sz w:val="22"/>
          <w:szCs w:val="22"/>
        </w:rPr>
        <w:t>. La Suprema Corte de Justicia de la Nación conocerá, en los términos que señala la ley reglamentaria, de los asuntos siguientes: […].</w:t>
      </w:r>
    </w:p>
    <w:p w14:paraId="0A3FEC98" w14:textId="77777777" w:rsidR="00746C09" w:rsidRPr="00F715E7" w:rsidRDefault="00746C09" w:rsidP="0098787A">
      <w:pPr>
        <w:pStyle w:val="corte5transcripcionCarCarCarCarCarCarCarCar"/>
        <w:tabs>
          <w:tab w:val="left" w:pos="142"/>
        </w:tabs>
        <w:spacing w:line="259" w:lineRule="auto"/>
        <w:ind w:left="720" w:rightChars="177" w:right="496" w:hanging="11"/>
        <w:contextualSpacing/>
        <w:rPr>
          <w:rFonts w:cs="Arial"/>
          <w:b w:val="0"/>
          <w:i w:val="0"/>
          <w:sz w:val="22"/>
          <w:szCs w:val="22"/>
        </w:rPr>
      </w:pPr>
      <w:r w:rsidRPr="00F715E7">
        <w:rPr>
          <w:rFonts w:cs="Arial"/>
          <w:i w:val="0"/>
          <w:sz w:val="22"/>
          <w:szCs w:val="22"/>
        </w:rPr>
        <w:t>II.</w:t>
      </w:r>
      <w:r w:rsidRPr="00F715E7">
        <w:rPr>
          <w:rFonts w:cs="Arial"/>
          <w:b w:val="0"/>
          <w:i w:val="0"/>
          <w:sz w:val="22"/>
          <w:szCs w:val="22"/>
        </w:rPr>
        <w:t xml:space="preserve"> […].</w:t>
      </w:r>
    </w:p>
    <w:p w14:paraId="51644933" w14:textId="77777777" w:rsidR="00746C09" w:rsidRPr="00F715E7" w:rsidRDefault="00746C09" w:rsidP="0098787A">
      <w:pPr>
        <w:pStyle w:val="corte5transcripcionCarCarCarCarCarCarCarCar"/>
        <w:tabs>
          <w:tab w:val="left" w:pos="142"/>
        </w:tabs>
        <w:spacing w:line="259" w:lineRule="auto"/>
        <w:ind w:rightChars="177" w:right="496" w:hanging="11"/>
        <w:contextualSpacing/>
        <w:rPr>
          <w:rFonts w:cs="Arial"/>
          <w:b w:val="0"/>
          <w:i w:val="0"/>
          <w:sz w:val="22"/>
          <w:szCs w:val="22"/>
        </w:rPr>
      </w:pPr>
      <w:r w:rsidRPr="00F715E7">
        <w:rPr>
          <w:rFonts w:cs="Arial"/>
          <w:b w:val="0"/>
          <w:i w:val="0"/>
          <w:sz w:val="22"/>
          <w:szCs w:val="22"/>
        </w:rPr>
        <w:t xml:space="preserve">Las leyes electorales federal y locales deberán promulgarse y publicarse por lo menos noventa días antes de que inicie el proceso electoral en que vayan a aplicarse, y </w:t>
      </w:r>
      <w:r w:rsidRPr="00F715E7">
        <w:rPr>
          <w:rFonts w:cs="Arial"/>
          <w:bCs/>
          <w:i w:val="0"/>
          <w:sz w:val="22"/>
          <w:szCs w:val="22"/>
          <w:u w:val="single"/>
        </w:rPr>
        <w:t>durante el mismo no podrá haber modificaciones legales fundamentales</w:t>
      </w:r>
      <w:r w:rsidRPr="00F715E7">
        <w:rPr>
          <w:rFonts w:cs="Arial"/>
          <w:b w:val="0"/>
          <w:i w:val="0"/>
          <w:sz w:val="22"/>
          <w:szCs w:val="22"/>
        </w:rPr>
        <w:t xml:space="preserve"> […]. </w:t>
      </w:r>
    </w:p>
    <w:p w14:paraId="0F591C65" w14:textId="77777777" w:rsidR="00746C09" w:rsidRPr="00F715E7" w:rsidRDefault="00746C09" w:rsidP="0098787A">
      <w:pPr>
        <w:pStyle w:val="corte4fondo"/>
        <w:tabs>
          <w:tab w:val="left" w:pos="142"/>
        </w:tabs>
        <w:ind w:rightChars="22" w:right="62" w:firstLine="0"/>
        <w:contextualSpacing/>
        <w:rPr>
          <w:rFonts w:cs="Arial"/>
          <w:sz w:val="26"/>
          <w:szCs w:val="26"/>
          <w:lang w:eastAsia="es-MX"/>
        </w:rPr>
      </w:pPr>
    </w:p>
    <w:p w14:paraId="68A313A0" w14:textId="77777777" w:rsidR="00746C09" w:rsidRPr="00F715E7" w:rsidRDefault="00746C09" w:rsidP="0091701E">
      <w:pPr>
        <w:pStyle w:val="Estilo1"/>
        <w:numPr>
          <w:ilvl w:val="0"/>
          <w:numId w:val="6"/>
        </w:numPr>
        <w:spacing w:before="0" w:after="0"/>
        <w:ind w:left="0"/>
        <w:rPr>
          <w:sz w:val="26"/>
          <w:szCs w:val="26"/>
          <w:lang w:eastAsia="es-MX"/>
        </w:rPr>
      </w:pPr>
      <w:r w:rsidRPr="00F715E7">
        <w:rPr>
          <w:sz w:val="26"/>
          <w:szCs w:val="26"/>
        </w:rPr>
        <w:t xml:space="preserve">El precepto en cuestión prevé que las leyes electorales federal y locales deberán promulgarse y publicarse por lo menos noventa días antes de que inicie el proceso electoral en que vayan a aplicarse y que, durante el mismo, no podrá haber modificaciones legales fundamentales. </w:t>
      </w:r>
    </w:p>
    <w:p w14:paraId="5334BF29" w14:textId="77777777" w:rsidR="00746C09" w:rsidRPr="00F715E7" w:rsidRDefault="00746C09" w:rsidP="0091701E">
      <w:pPr>
        <w:pStyle w:val="corte4fondo"/>
        <w:tabs>
          <w:tab w:val="left" w:pos="567"/>
        </w:tabs>
        <w:ind w:left="-57" w:firstLine="0"/>
        <w:rPr>
          <w:rFonts w:cs="Arial"/>
          <w:sz w:val="26"/>
          <w:szCs w:val="26"/>
          <w:lang w:eastAsia="es-MX"/>
        </w:rPr>
      </w:pPr>
    </w:p>
    <w:p w14:paraId="51B57FBA" w14:textId="1319DEC2" w:rsidR="00075622" w:rsidRPr="00F715E7" w:rsidRDefault="00746C09" w:rsidP="0091701E">
      <w:pPr>
        <w:pStyle w:val="Estilo1"/>
        <w:numPr>
          <w:ilvl w:val="0"/>
          <w:numId w:val="6"/>
        </w:numPr>
        <w:spacing w:before="0" w:after="0"/>
        <w:ind w:left="0"/>
        <w:rPr>
          <w:sz w:val="26"/>
          <w:szCs w:val="26"/>
          <w:lang w:eastAsia="es-MX"/>
        </w:rPr>
      </w:pPr>
      <w:r w:rsidRPr="00F715E7">
        <w:rPr>
          <w:sz w:val="26"/>
          <w:szCs w:val="26"/>
          <w:lang w:val="es-ES"/>
        </w:rPr>
        <w:t xml:space="preserve">Este </w:t>
      </w:r>
      <w:r w:rsidRPr="00F715E7">
        <w:rPr>
          <w:sz w:val="26"/>
          <w:szCs w:val="26"/>
        </w:rPr>
        <w:t>Tribunal</w:t>
      </w:r>
      <w:r w:rsidRPr="00F715E7">
        <w:rPr>
          <w:sz w:val="26"/>
          <w:szCs w:val="26"/>
          <w:lang w:val="es-ES"/>
        </w:rPr>
        <w:t xml:space="preserve"> Pleno ha sostenido en diversos precedentes</w:t>
      </w:r>
      <w:r w:rsidR="00075622" w:rsidRPr="00F715E7">
        <w:rPr>
          <w:sz w:val="26"/>
          <w:szCs w:val="26"/>
          <w:lang w:val="es-ES"/>
        </w:rPr>
        <w:t>,</w:t>
      </w:r>
      <w:r w:rsidRPr="00F715E7">
        <w:rPr>
          <w:rStyle w:val="Refdenotaalpie"/>
          <w:sz w:val="26"/>
          <w:szCs w:val="26"/>
          <w:lang w:val="es-ES"/>
        </w:rPr>
        <w:footnoteReference w:id="37"/>
      </w:r>
      <w:r w:rsidRPr="00F715E7">
        <w:rPr>
          <w:sz w:val="26"/>
          <w:szCs w:val="26"/>
          <w:lang w:val="es-ES"/>
        </w:rPr>
        <w:t xml:space="preserve"> que esta disposición constitucional establece</w:t>
      </w:r>
      <w:r w:rsidRPr="00F715E7">
        <w:rPr>
          <w:sz w:val="26"/>
          <w:szCs w:val="26"/>
          <w:lang w:eastAsia="es-MX"/>
        </w:rPr>
        <w:t xml:space="preserve"> </w:t>
      </w:r>
      <w:r w:rsidRPr="00F715E7">
        <w:rPr>
          <w:sz w:val="26"/>
          <w:szCs w:val="26"/>
          <w:lang w:val="es-ES"/>
        </w:rPr>
        <w:t>dos prescripciones para la promulgación, publicación y reforma de las leyes electorales, ya sean locales o federales.</w:t>
      </w:r>
    </w:p>
    <w:p w14:paraId="3AF1D810" w14:textId="77777777" w:rsidR="00075622" w:rsidRPr="00F715E7" w:rsidRDefault="00075622" w:rsidP="0091701E">
      <w:pPr>
        <w:pStyle w:val="Prrafodelista"/>
        <w:spacing w:before="0" w:after="0" w:line="360" w:lineRule="auto"/>
        <w:rPr>
          <w:sz w:val="26"/>
          <w:szCs w:val="26"/>
          <w:lang w:val="es-ES"/>
        </w:rPr>
      </w:pPr>
    </w:p>
    <w:p w14:paraId="29966029" w14:textId="50145416" w:rsidR="00746C09" w:rsidRPr="00F715E7" w:rsidRDefault="00075622" w:rsidP="0091701E">
      <w:pPr>
        <w:pStyle w:val="Estilo1"/>
        <w:numPr>
          <w:ilvl w:val="0"/>
          <w:numId w:val="6"/>
        </w:numPr>
        <w:spacing w:before="0" w:after="0"/>
        <w:ind w:left="0"/>
        <w:rPr>
          <w:sz w:val="26"/>
          <w:szCs w:val="26"/>
          <w:lang w:eastAsia="es-MX"/>
        </w:rPr>
      </w:pPr>
      <w:r w:rsidRPr="00F715E7">
        <w:rPr>
          <w:sz w:val="26"/>
          <w:szCs w:val="26"/>
          <w:lang w:val="es-ES"/>
        </w:rPr>
        <w:t>En lo que se refiere a la primera</w:t>
      </w:r>
      <w:r w:rsidR="00746C09" w:rsidRPr="00F715E7">
        <w:rPr>
          <w:sz w:val="26"/>
          <w:szCs w:val="26"/>
          <w:lang w:val="es-ES"/>
        </w:rPr>
        <w:t xml:space="preserve">, se ha </w:t>
      </w:r>
      <w:r w:rsidRPr="00F715E7">
        <w:rPr>
          <w:sz w:val="26"/>
          <w:szCs w:val="26"/>
          <w:lang w:val="es-ES"/>
        </w:rPr>
        <w:t xml:space="preserve">establecido </w:t>
      </w:r>
      <w:r w:rsidR="00746C09" w:rsidRPr="00F715E7">
        <w:rPr>
          <w:sz w:val="26"/>
          <w:szCs w:val="26"/>
          <w:lang w:val="es-ES"/>
        </w:rPr>
        <w:t xml:space="preserve">que comprende una obligación consistente en que </w:t>
      </w:r>
      <w:bookmarkStart w:id="21" w:name="_Hlk80834097"/>
      <w:r w:rsidR="00746C09" w:rsidRPr="00F715E7">
        <w:rPr>
          <w:sz w:val="26"/>
          <w:szCs w:val="26"/>
          <w:lang w:val="es-ES"/>
        </w:rPr>
        <w:t xml:space="preserve">las normas electorales </w:t>
      </w:r>
      <w:r w:rsidR="00746C09" w:rsidRPr="00F715E7">
        <w:rPr>
          <w:sz w:val="26"/>
          <w:szCs w:val="26"/>
        </w:rPr>
        <w:t>deben quedar publicadas y promulgadas noventa días antes del proceso en el que vayan a aplicarse</w:t>
      </w:r>
      <w:bookmarkEnd w:id="21"/>
      <w:r w:rsidRPr="00F715E7">
        <w:rPr>
          <w:sz w:val="26"/>
          <w:szCs w:val="26"/>
        </w:rPr>
        <w:t>. En lo que atañe a la segunda</w:t>
      </w:r>
      <w:r w:rsidR="00746C09" w:rsidRPr="00F715E7">
        <w:rPr>
          <w:sz w:val="26"/>
          <w:szCs w:val="26"/>
        </w:rPr>
        <w:t>, se ha inferido que dichas normas no podrán sufrir modificaciones fundamentales durante el tiempo señalado y durante el desarrollo del proceso electoral.</w:t>
      </w:r>
    </w:p>
    <w:p w14:paraId="08F3DDB0" w14:textId="77777777" w:rsidR="00746C09" w:rsidRPr="00F715E7" w:rsidRDefault="00746C09" w:rsidP="0091701E">
      <w:pPr>
        <w:pStyle w:val="corte4fondo"/>
        <w:tabs>
          <w:tab w:val="left" w:pos="567"/>
        </w:tabs>
        <w:ind w:left="-57" w:firstLine="0"/>
        <w:rPr>
          <w:rFonts w:cs="Arial"/>
          <w:sz w:val="26"/>
          <w:szCs w:val="26"/>
          <w:lang w:eastAsia="es-MX"/>
        </w:rPr>
      </w:pPr>
    </w:p>
    <w:p w14:paraId="0A8D19E5" w14:textId="6110A66C" w:rsidR="00180CBD" w:rsidRPr="00F715E7" w:rsidRDefault="00746C09" w:rsidP="0091701E">
      <w:pPr>
        <w:pStyle w:val="Estilo1"/>
        <w:numPr>
          <w:ilvl w:val="0"/>
          <w:numId w:val="6"/>
        </w:numPr>
        <w:spacing w:before="0" w:after="0"/>
        <w:ind w:left="0"/>
        <w:rPr>
          <w:sz w:val="26"/>
          <w:szCs w:val="26"/>
        </w:rPr>
      </w:pPr>
      <w:r w:rsidRPr="00F715E7">
        <w:rPr>
          <w:sz w:val="26"/>
          <w:szCs w:val="26"/>
        </w:rPr>
        <w:t>Lo anterior, con la finalidad de que quede garantizado el principio de certeza que debe observarse en la materia.</w:t>
      </w:r>
    </w:p>
    <w:p w14:paraId="56CD71AC" w14:textId="77777777" w:rsidR="00180CBD" w:rsidRPr="00F715E7" w:rsidRDefault="00180CBD" w:rsidP="0091701E">
      <w:pPr>
        <w:pStyle w:val="Estilo1"/>
        <w:numPr>
          <w:ilvl w:val="0"/>
          <w:numId w:val="0"/>
        </w:numPr>
        <w:spacing w:before="0" w:after="0"/>
        <w:rPr>
          <w:sz w:val="26"/>
          <w:szCs w:val="26"/>
        </w:rPr>
      </w:pPr>
    </w:p>
    <w:p w14:paraId="01DFC16C" w14:textId="0EE59C1D" w:rsidR="00180CBD" w:rsidRPr="00F715E7" w:rsidRDefault="00075622" w:rsidP="0091701E">
      <w:pPr>
        <w:pStyle w:val="Estilo1"/>
        <w:numPr>
          <w:ilvl w:val="0"/>
          <w:numId w:val="6"/>
        </w:numPr>
        <w:spacing w:before="0" w:after="0"/>
        <w:ind w:left="0"/>
        <w:rPr>
          <w:sz w:val="26"/>
          <w:szCs w:val="26"/>
          <w:lang w:eastAsia="es-MX"/>
        </w:rPr>
      </w:pPr>
      <w:r w:rsidRPr="00F715E7">
        <w:rPr>
          <w:sz w:val="26"/>
          <w:szCs w:val="26"/>
          <w:lang w:eastAsia="es-MX"/>
        </w:rPr>
        <w:lastRenderedPageBreak/>
        <w:t>En esta misma línea</w:t>
      </w:r>
      <w:r w:rsidR="00180CBD" w:rsidRPr="00F715E7">
        <w:rPr>
          <w:sz w:val="26"/>
          <w:szCs w:val="26"/>
          <w:lang w:eastAsia="es-MX"/>
        </w:rPr>
        <w:t xml:space="preserve"> el Tribunal Pleno ha señalado que para verificar la regularidad constitucional de las modificaciones realizadas a las </w:t>
      </w:r>
      <w:r w:rsidR="00180CBD" w:rsidRPr="00F715E7">
        <w:rPr>
          <w:sz w:val="26"/>
          <w:szCs w:val="26"/>
        </w:rPr>
        <w:t>leyes</w:t>
      </w:r>
      <w:r w:rsidR="00180CBD" w:rsidRPr="00F715E7">
        <w:rPr>
          <w:sz w:val="26"/>
          <w:szCs w:val="26"/>
          <w:lang w:eastAsia="es-MX"/>
        </w:rPr>
        <w:t xml:space="preserve"> electorales, cuando se impugn</w:t>
      </w:r>
      <w:r w:rsidRPr="00F715E7">
        <w:rPr>
          <w:sz w:val="26"/>
          <w:szCs w:val="26"/>
          <w:lang w:eastAsia="es-MX"/>
        </w:rPr>
        <w:t>a</w:t>
      </w:r>
      <w:r w:rsidR="00180CBD" w:rsidRPr="00F715E7">
        <w:rPr>
          <w:sz w:val="26"/>
          <w:szCs w:val="26"/>
          <w:lang w:eastAsia="es-MX"/>
        </w:rPr>
        <w:t xml:space="preserve"> su inobservancia</w:t>
      </w:r>
      <w:r w:rsidRPr="00F715E7">
        <w:rPr>
          <w:sz w:val="26"/>
          <w:szCs w:val="26"/>
          <w:lang w:eastAsia="es-MX"/>
        </w:rPr>
        <w:t>, de acuerdo con</w:t>
      </w:r>
      <w:r w:rsidR="00180CBD" w:rsidRPr="00F715E7">
        <w:rPr>
          <w:sz w:val="26"/>
          <w:szCs w:val="26"/>
          <w:lang w:eastAsia="es-MX"/>
        </w:rPr>
        <w:t xml:space="preserve"> lo previsto en el artículo 105, fracción II, penúltimo párrafo</w:t>
      </w:r>
      <w:r w:rsidR="00646564">
        <w:rPr>
          <w:sz w:val="26"/>
          <w:szCs w:val="26"/>
          <w:lang w:eastAsia="es-MX"/>
        </w:rPr>
        <w:t>,</w:t>
      </w:r>
      <w:r w:rsidR="00180CBD" w:rsidRPr="00F715E7">
        <w:rPr>
          <w:sz w:val="26"/>
          <w:szCs w:val="26"/>
          <w:lang w:eastAsia="es-MX"/>
        </w:rPr>
        <w:t xml:space="preserve"> de la Ley Fundamental, será necesario verificar los siguientes tres elementos generales: </w:t>
      </w:r>
      <w:r w:rsidR="000A3CF4" w:rsidRPr="00F715E7">
        <w:rPr>
          <w:b/>
          <w:bCs/>
          <w:sz w:val="26"/>
          <w:szCs w:val="26"/>
          <w:lang w:eastAsia="es-MX"/>
        </w:rPr>
        <w:t>1)</w:t>
      </w:r>
      <w:r w:rsidR="000A3CF4" w:rsidRPr="00F715E7">
        <w:rPr>
          <w:sz w:val="26"/>
          <w:szCs w:val="26"/>
          <w:lang w:eastAsia="es-MX"/>
        </w:rPr>
        <w:t xml:space="preserve"> </w:t>
      </w:r>
      <w:r w:rsidR="00180CBD" w:rsidRPr="00F715E7">
        <w:rPr>
          <w:sz w:val="26"/>
          <w:szCs w:val="26"/>
          <w:lang w:eastAsia="es-MX"/>
        </w:rPr>
        <w:t xml:space="preserve">la temporalidad de la reforma; </w:t>
      </w:r>
      <w:r w:rsidR="000A3CF4" w:rsidRPr="00F715E7">
        <w:rPr>
          <w:b/>
          <w:bCs/>
          <w:sz w:val="26"/>
          <w:szCs w:val="26"/>
          <w:lang w:eastAsia="es-MX"/>
        </w:rPr>
        <w:t>2)</w:t>
      </w:r>
      <w:r w:rsidR="000A3CF4" w:rsidRPr="00F715E7">
        <w:rPr>
          <w:sz w:val="26"/>
          <w:szCs w:val="26"/>
          <w:lang w:eastAsia="es-MX"/>
        </w:rPr>
        <w:t xml:space="preserve"> </w:t>
      </w:r>
      <w:r w:rsidR="00180CBD" w:rsidRPr="00F715E7">
        <w:rPr>
          <w:sz w:val="26"/>
          <w:szCs w:val="26"/>
          <w:lang w:eastAsia="es-MX"/>
        </w:rPr>
        <w:t>el proceso con el que está vinculada</w:t>
      </w:r>
      <w:r w:rsidR="00646564">
        <w:rPr>
          <w:sz w:val="26"/>
          <w:szCs w:val="26"/>
          <w:lang w:eastAsia="es-MX"/>
        </w:rPr>
        <w:t>;</w:t>
      </w:r>
      <w:r w:rsidR="00180CBD" w:rsidRPr="00F715E7">
        <w:rPr>
          <w:sz w:val="26"/>
          <w:szCs w:val="26"/>
          <w:lang w:eastAsia="es-MX"/>
        </w:rPr>
        <w:t xml:space="preserve"> y</w:t>
      </w:r>
      <w:r w:rsidR="00646564">
        <w:rPr>
          <w:sz w:val="26"/>
          <w:szCs w:val="26"/>
          <w:lang w:eastAsia="es-MX"/>
        </w:rPr>
        <w:t>,</w:t>
      </w:r>
      <w:r w:rsidR="00180CBD" w:rsidRPr="00F715E7">
        <w:rPr>
          <w:sz w:val="26"/>
          <w:szCs w:val="26"/>
          <w:lang w:eastAsia="es-MX"/>
        </w:rPr>
        <w:t xml:space="preserve"> </w:t>
      </w:r>
      <w:r w:rsidR="000A3CF4" w:rsidRPr="00F715E7">
        <w:rPr>
          <w:b/>
          <w:bCs/>
          <w:sz w:val="26"/>
          <w:szCs w:val="26"/>
          <w:lang w:eastAsia="es-MX"/>
        </w:rPr>
        <w:t>3)</w:t>
      </w:r>
      <w:r w:rsidR="000A3CF4" w:rsidRPr="00F715E7">
        <w:rPr>
          <w:sz w:val="26"/>
          <w:szCs w:val="26"/>
          <w:lang w:eastAsia="es-MX"/>
        </w:rPr>
        <w:t xml:space="preserve"> </w:t>
      </w:r>
      <w:r w:rsidR="00180CBD" w:rsidRPr="00F715E7">
        <w:rPr>
          <w:sz w:val="26"/>
          <w:szCs w:val="26"/>
          <w:lang w:eastAsia="es-MX"/>
        </w:rPr>
        <w:t>la naturaleza de los cambios realizados, por tratarse de las condiciones relevantes y definitivas que, en su caso, determinarán la constitucionalidad o inconstitucionalidad de la norma respectiva.</w:t>
      </w:r>
      <w:r w:rsidR="00AE06EE" w:rsidRPr="00F715E7">
        <w:rPr>
          <w:rStyle w:val="Refdenotaalpie"/>
          <w:sz w:val="26"/>
          <w:szCs w:val="26"/>
          <w:lang w:eastAsia="es-MX"/>
        </w:rPr>
        <w:footnoteReference w:id="38"/>
      </w:r>
    </w:p>
    <w:p w14:paraId="000C0482" w14:textId="77777777" w:rsidR="00180CBD" w:rsidRPr="00F715E7" w:rsidRDefault="00180CBD" w:rsidP="0091701E">
      <w:pPr>
        <w:pStyle w:val="Estilo1"/>
        <w:numPr>
          <w:ilvl w:val="0"/>
          <w:numId w:val="0"/>
        </w:numPr>
        <w:spacing w:before="0" w:after="0"/>
        <w:ind w:left="567"/>
        <w:rPr>
          <w:sz w:val="26"/>
          <w:szCs w:val="26"/>
          <w:lang w:eastAsia="es-MX"/>
        </w:rPr>
      </w:pPr>
    </w:p>
    <w:p w14:paraId="666D88C1" w14:textId="078900FC" w:rsidR="00075622" w:rsidRPr="00F715E7" w:rsidRDefault="0084215E" w:rsidP="0091701E">
      <w:pPr>
        <w:pStyle w:val="Estilo1"/>
        <w:numPr>
          <w:ilvl w:val="0"/>
          <w:numId w:val="6"/>
        </w:numPr>
        <w:spacing w:before="0" w:after="0"/>
        <w:ind w:left="0"/>
        <w:rPr>
          <w:sz w:val="26"/>
          <w:szCs w:val="26"/>
          <w:lang w:eastAsia="es-MX"/>
        </w:rPr>
      </w:pPr>
      <w:r w:rsidRPr="00F715E7">
        <w:rPr>
          <w:sz w:val="26"/>
          <w:szCs w:val="26"/>
          <w:lang w:eastAsia="es-MX"/>
        </w:rPr>
        <w:t xml:space="preserve">En ese sentido, </w:t>
      </w:r>
      <w:r w:rsidR="00180CBD" w:rsidRPr="00F715E7">
        <w:rPr>
          <w:sz w:val="26"/>
          <w:szCs w:val="26"/>
          <w:lang w:eastAsia="es-MX"/>
        </w:rPr>
        <w:t xml:space="preserve">para verificar la adecuación de la reforma a una norma electoral con el precepto de la Ley Fundamental aludido, </w:t>
      </w:r>
      <w:r w:rsidR="00075622" w:rsidRPr="00F715E7">
        <w:rPr>
          <w:sz w:val="26"/>
          <w:szCs w:val="26"/>
          <w:lang w:eastAsia="es-MX"/>
        </w:rPr>
        <w:t>es</w:t>
      </w:r>
      <w:r w:rsidR="00180CBD" w:rsidRPr="00F715E7">
        <w:rPr>
          <w:sz w:val="26"/>
          <w:szCs w:val="26"/>
          <w:lang w:eastAsia="es-MX"/>
        </w:rPr>
        <w:t xml:space="preserve"> necesario analizar, en primer lugar, la temporalidad en que se realiza</w:t>
      </w:r>
      <w:r w:rsidR="00575512" w:rsidRPr="00F715E7">
        <w:rPr>
          <w:sz w:val="26"/>
          <w:szCs w:val="26"/>
          <w:lang w:eastAsia="es-MX"/>
        </w:rPr>
        <w:t xml:space="preserve"> e</w:t>
      </w:r>
      <w:r w:rsidR="00180CBD" w:rsidRPr="00F715E7">
        <w:rPr>
          <w:sz w:val="26"/>
          <w:szCs w:val="26"/>
          <w:lang w:eastAsia="es-MX"/>
        </w:rPr>
        <w:t xml:space="preserve"> </w:t>
      </w:r>
      <w:r w:rsidR="00575512" w:rsidRPr="00F715E7">
        <w:rPr>
          <w:sz w:val="26"/>
          <w:szCs w:val="26"/>
        </w:rPr>
        <w:t>identificar el proceso electoral con el que se encuentra vinculado</w:t>
      </w:r>
      <w:r w:rsidR="00575512" w:rsidRPr="00F715E7">
        <w:rPr>
          <w:sz w:val="26"/>
          <w:szCs w:val="26"/>
          <w:lang w:eastAsia="es-MX"/>
        </w:rPr>
        <w:t xml:space="preserve"> </w:t>
      </w:r>
      <w:r w:rsidR="00180CBD" w:rsidRPr="00F715E7">
        <w:rPr>
          <w:sz w:val="26"/>
          <w:szCs w:val="26"/>
          <w:lang w:eastAsia="es-MX"/>
        </w:rPr>
        <w:t>pues, como se señaló, la exigencia del precepto constitucional indicado se desarrolla en el sentido de establecer un límite temporal a las modificaciones de este tipo de leyes, que se cuenta tomando como base el inicio del proceso electoral correspondiente</w:t>
      </w:r>
      <w:r w:rsidR="00075622" w:rsidRPr="00F715E7">
        <w:rPr>
          <w:sz w:val="26"/>
          <w:szCs w:val="26"/>
          <w:lang w:eastAsia="es-MX"/>
        </w:rPr>
        <w:t>.</w:t>
      </w:r>
    </w:p>
    <w:p w14:paraId="13243DFD" w14:textId="77777777" w:rsidR="00075622" w:rsidRPr="00F715E7" w:rsidRDefault="00075622" w:rsidP="0091701E">
      <w:pPr>
        <w:pStyle w:val="Prrafodelista"/>
        <w:spacing w:before="0" w:after="0"/>
        <w:rPr>
          <w:sz w:val="26"/>
          <w:szCs w:val="26"/>
          <w:lang w:eastAsia="es-MX"/>
        </w:rPr>
      </w:pPr>
    </w:p>
    <w:p w14:paraId="064A037C" w14:textId="2DF78530" w:rsidR="00AE06EE" w:rsidRPr="00F715E7" w:rsidRDefault="00075622" w:rsidP="0091701E">
      <w:pPr>
        <w:pStyle w:val="Estilo1"/>
        <w:numPr>
          <w:ilvl w:val="0"/>
          <w:numId w:val="6"/>
        </w:numPr>
        <w:spacing w:before="0" w:after="0"/>
        <w:ind w:left="0"/>
        <w:rPr>
          <w:sz w:val="26"/>
          <w:szCs w:val="26"/>
          <w:lang w:eastAsia="es-MX"/>
        </w:rPr>
      </w:pPr>
      <w:r w:rsidRPr="00F715E7">
        <w:rPr>
          <w:sz w:val="26"/>
          <w:szCs w:val="26"/>
          <w:lang w:eastAsia="es-MX"/>
        </w:rPr>
        <w:t>Solo en caso</w:t>
      </w:r>
      <w:r w:rsidR="00625769" w:rsidRPr="00F715E7">
        <w:rPr>
          <w:sz w:val="26"/>
          <w:szCs w:val="26"/>
          <w:lang w:eastAsia="es-MX"/>
        </w:rPr>
        <w:t xml:space="preserve"> de determinar que la norma debe aplicarse al proceso electoral que no </w:t>
      </w:r>
      <w:r w:rsidR="00B9729A" w:rsidRPr="00F715E7">
        <w:rPr>
          <w:sz w:val="26"/>
          <w:szCs w:val="26"/>
          <w:lang w:eastAsia="es-MX"/>
        </w:rPr>
        <w:t xml:space="preserve">supere los tiempos establecidos por nuestra Constitución, </w:t>
      </w:r>
      <w:r w:rsidRPr="00F715E7">
        <w:rPr>
          <w:sz w:val="26"/>
          <w:szCs w:val="26"/>
          <w:lang w:eastAsia="es-MX"/>
        </w:rPr>
        <w:t xml:space="preserve">se debe </w:t>
      </w:r>
      <w:r w:rsidR="00B9729A" w:rsidRPr="00F715E7">
        <w:rPr>
          <w:sz w:val="26"/>
          <w:szCs w:val="26"/>
          <w:lang w:eastAsia="es-MX"/>
        </w:rPr>
        <w:t xml:space="preserve">analizar si las modificaciones </w:t>
      </w:r>
      <w:r w:rsidR="00AE06EE" w:rsidRPr="00F715E7">
        <w:rPr>
          <w:sz w:val="26"/>
          <w:szCs w:val="26"/>
          <w:lang w:eastAsia="es-MX"/>
        </w:rPr>
        <w:t xml:space="preserve">son fundamentales, y de ser así, podrá declararse su inconstitucionalidad y/o </w:t>
      </w:r>
      <w:r w:rsidR="00516202" w:rsidRPr="00F715E7">
        <w:rPr>
          <w:sz w:val="26"/>
          <w:szCs w:val="26"/>
          <w:lang w:eastAsia="es-MX"/>
        </w:rPr>
        <w:t>su</w:t>
      </w:r>
      <w:r w:rsidR="00BA25DA" w:rsidRPr="00F715E7">
        <w:rPr>
          <w:sz w:val="26"/>
          <w:szCs w:val="26"/>
          <w:lang w:eastAsia="es-MX"/>
        </w:rPr>
        <w:t xml:space="preserve"> inaplicab</w:t>
      </w:r>
      <w:r w:rsidR="00516202" w:rsidRPr="00F715E7">
        <w:rPr>
          <w:sz w:val="26"/>
          <w:szCs w:val="26"/>
          <w:lang w:eastAsia="es-MX"/>
        </w:rPr>
        <w:t>ilidad</w:t>
      </w:r>
      <w:r w:rsidR="00BA25DA" w:rsidRPr="00F715E7">
        <w:rPr>
          <w:sz w:val="26"/>
          <w:szCs w:val="26"/>
          <w:lang w:eastAsia="es-MX"/>
        </w:rPr>
        <w:t xml:space="preserve"> para el próximo proceso electoral que tendrá verificativo en esa entidad, por no haberse emitido con la anticipación debida.</w:t>
      </w:r>
    </w:p>
    <w:p w14:paraId="3E1FBFC7" w14:textId="77777777" w:rsidR="00180CBD" w:rsidRPr="00F715E7" w:rsidRDefault="00180CBD" w:rsidP="0091701E">
      <w:pPr>
        <w:pStyle w:val="Estilo1"/>
        <w:numPr>
          <w:ilvl w:val="0"/>
          <w:numId w:val="0"/>
        </w:numPr>
        <w:spacing w:before="0" w:after="0"/>
        <w:ind w:left="720" w:hanging="360"/>
        <w:rPr>
          <w:sz w:val="26"/>
          <w:szCs w:val="26"/>
          <w:lang w:eastAsia="es-MX"/>
        </w:rPr>
      </w:pPr>
    </w:p>
    <w:p w14:paraId="0E771C80" w14:textId="546243F0" w:rsidR="00180CBD" w:rsidRPr="00F715E7" w:rsidRDefault="00180CBD" w:rsidP="0091701E">
      <w:pPr>
        <w:pStyle w:val="Estilo1"/>
        <w:numPr>
          <w:ilvl w:val="0"/>
          <w:numId w:val="6"/>
        </w:numPr>
        <w:spacing w:before="0" w:after="0"/>
        <w:ind w:left="0"/>
        <w:rPr>
          <w:sz w:val="26"/>
          <w:szCs w:val="26"/>
          <w:lang w:eastAsia="es-MX"/>
        </w:rPr>
      </w:pPr>
      <w:r w:rsidRPr="00F715E7">
        <w:rPr>
          <w:sz w:val="26"/>
          <w:szCs w:val="26"/>
          <w:lang w:eastAsia="es-MX"/>
        </w:rPr>
        <w:lastRenderedPageBreak/>
        <w:t>Precisado lo anterior, procede determinar si las reformas en cuestión se promulgaron y publicaron oportunamente, conforme a lo dispuesto en el artículo 105, fracción II, penúltimo párrafo</w:t>
      </w:r>
      <w:r w:rsidR="001605C4">
        <w:rPr>
          <w:sz w:val="26"/>
          <w:szCs w:val="26"/>
          <w:lang w:eastAsia="es-MX"/>
        </w:rPr>
        <w:t>,</w:t>
      </w:r>
      <w:r w:rsidRPr="00F715E7">
        <w:rPr>
          <w:sz w:val="26"/>
          <w:szCs w:val="26"/>
          <w:lang w:eastAsia="es-MX"/>
        </w:rPr>
        <w:t xml:space="preserve"> de la Constitución Política de los Estados Unidos Mexicanos.</w:t>
      </w:r>
    </w:p>
    <w:p w14:paraId="2041089E" w14:textId="58D520FB" w:rsidR="00B66133" w:rsidRDefault="00B66133" w:rsidP="0098787A">
      <w:pPr>
        <w:pStyle w:val="corte4fondo"/>
        <w:tabs>
          <w:tab w:val="left" w:pos="567"/>
          <w:tab w:val="left" w:pos="2552"/>
        </w:tabs>
        <w:ind w:firstLine="0"/>
        <w:rPr>
          <w:rFonts w:cs="Arial"/>
          <w:b/>
          <w:bCs/>
          <w:color w:val="222A35" w:themeColor="text2" w:themeShade="80"/>
          <w:sz w:val="26"/>
          <w:szCs w:val="26"/>
          <w:lang w:eastAsia="es-MX"/>
        </w:rPr>
      </w:pPr>
    </w:p>
    <w:p w14:paraId="035F3260" w14:textId="77777777" w:rsidR="001605C4" w:rsidRPr="00F715E7" w:rsidRDefault="001605C4" w:rsidP="0098787A">
      <w:pPr>
        <w:pStyle w:val="corte4fondo"/>
        <w:tabs>
          <w:tab w:val="left" w:pos="567"/>
          <w:tab w:val="left" w:pos="2552"/>
        </w:tabs>
        <w:ind w:firstLine="0"/>
        <w:rPr>
          <w:rFonts w:cs="Arial"/>
          <w:b/>
          <w:bCs/>
          <w:color w:val="222A35" w:themeColor="text2" w:themeShade="80"/>
          <w:sz w:val="26"/>
          <w:szCs w:val="26"/>
          <w:lang w:eastAsia="es-MX"/>
        </w:rPr>
      </w:pPr>
    </w:p>
    <w:p w14:paraId="7D260670" w14:textId="7C1E4F72" w:rsidR="00746C09" w:rsidRPr="00F715E7" w:rsidRDefault="00746C09" w:rsidP="0098787A">
      <w:pPr>
        <w:pStyle w:val="corte4fondo"/>
        <w:tabs>
          <w:tab w:val="left" w:pos="567"/>
          <w:tab w:val="left" w:pos="2552"/>
        </w:tabs>
        <w:ind w:firstLine="0"/>
        <w:jc w:val="center"/>
        <w:rPr>
          <w:rFonts w:cs="Arial"/>
          <w:b/>
          <w:bCs/>
          <w:color w:val="222A35" w:themeColor="text2" w:themeShade="80"/>
          <w:sz w:val="26"/>
          <w:szCs w:val="26"/>
          <w:lang w:eastAsia="es-MX"/>
        </w:rPr>
      </w:pPr>
      <w:r w:rsidRPr="00F715E7">
        <w:rPr>
          <w:rFonts w:cs="Arial"/>
          <w:b/>
          <w:bCs/>
          <w:color w:val="222A35" w:themeColor="text2" w:themeShade="80"/>
          <w:sz w:val="26"/>
          <w:szCs w:val="26"/>
          <w:lang w:eastAsia="es-MX"/>
        </w:rPr>
        <w:t>Análisis de las normas impugnadas</w:t>
      </w:r>
      <w:r w:rsidR="00E51A7A">
        <w:rPr>
          <w:rFonts w:cs="Arial"/>
          <w:b/>
          <w:bCs/>
          <w:color w:val="222A35" w:themeColor="text2" w:themeShade="80"/>
          <w:sz w:val="26"/>
          <w:szCs w:val="26"/>
          <w:lang w:eastAsia="es-MX"/>
        </w:rPr>
        <w:t>.</w:t>
      </w:r>
    </w:p>
    <w:p w14:paraId="4B570859" w14:textId="77777777" w:rsidR="00280643" w:rsidRPr="00F715E7" w:rsidRDefault="00280643" w:rsidP="0098787A">
      <w:pPr>
        <w:pStyle w:val="corte4fondo"/>
        <w:tabs>
          <w:tab w:val="left" w:pos="567"/>
          <w:tab w:val="left" w:pos="2552"/>
        </w:tabs>
        <w:ind w:firstLine="0"/>
        <w:rPr>
          <w:rFonts w:cs="Arial"/>
          <w:b/>
          <w:bCs/>
          <w:color w:val="222A35" w:themeColor="text2" w:themeShade="80"/>
          <w:sz w:val="26"/>
          <w:szCs w:val="26"/>
          <w:lang w:eastAsia="es-MX"/>
        </w:rPr>
      </w:pPr>
    </w:p>
    <w:p w14:paraId="613BBC64" w14:textId="268F92F1" w:rsidR="007B2F98" w:rsidRPr="00F715E7" w:rsidRDefault="009E4452" w:rsidP="0098787A">
      <w:pPr>
        <w:pStyle w:val="Estilo1"/>
        <w:numPr>
          <w:ilvl w:val="0"/>
          <w:numId w:val="6"/>
        </w:numPr>
        <w:spacing w:before="0" w:after="0"/>
        <w:ind w:left="0"/>
        <w:rPr>
          <w:b/>
          <w:sz w:val="26"/>
          <w:szCs w:val="26"/>
        </w:rPr>
      </w:pPr>
      <w:r w:rsidRPr="00F715E7">
        <w:rPr>
          <w:sz w:val="26"/>
          <w:szCs w:val="26"/>
          <w:lang w:eastAsia="es-MX"/>
        </w:rPr>
        <w:t xml:space="preserve">Para mejor entendimiento, </w:t>
      </w:r>
      <w:r w:rsidR="007B2F98" w:rsidRPr="00F715E7">
        <w:rPr>
          <w:sz w:val="26"/>
          <w:szCs w:val="26"/>
          <w:lang w:eastAsia="es-MX"/>
        </w:rPr>
        <w:t xml:space="preserve">es pertinente hacer una narración de antecedentes del asunto, ya que la </w:t>
      </w:r>
      <w:r w:rsidR="00351B11" w:rsidRPr="00F715E7">
        <w:rPr>
          <w:sz w:val="26"/>
          <w:szCs w:val="26"/>
          <w:lang w:eastAsia="es-MX"/>
        </w:rPr>
        <w:t xml:space="preserve">litis en la que se enmarca la </w:t>
      </w:r>
      <w:r w:rsidR="007B2F98" w:rsidRPr="00F715E7">
        <w:rPr>
          <w:sz w:val="26"/>
          <w:szCs w:val="26"/>
          <w:lang w:eastAsia="es-MX"/>
        </w:rPr>
        <w:t>norma impugnada</w:t>
      </w:r>
      <w:r w:rsidR="00351B11" w:rsidRPr="00F715E7">
        <w:rPr>
          <w:sz w:val="26"/>
          <w:szCs w:val="26"/>
          <w:lang w:eastAsia="es-MX"/>
        </w:rPr>
        <w:t>,</w:t>
      </w:r>
      <w:r w:rsidR="007B2F98" w:rsidRPr="00F715E7">
        <w:rPr>
          <w:sz w:val="26"/>
          <w:szCs w:val="26"/>
          <w:lang w:eastAsia="es-MX"/>
        </w:rPr>
        <w:t xml:space="preserve"> ha sido </w:t>
      </w:r>
      <w:r w:rsidR="00351B11" w:rsidRPr="00F715E7">
        <w:rPr>
          <w:sz w:val="26"/>
          <w:szCs w:val="26"/>
          <w:lang w:eastAsia="es-MX"/>
        </w:rPr>
        <w:t xml:space="preserve">objeto </w:t>
      </w:r>
      <w:r w:rsidR="007B2F98" w:rsidRPr="00F715E7">
        <w:rPr>
          <w:sz w:val="26"/>
          <w:szCs w:val="26"/>
          <w:lang w:eastAsia="es-MX"/>
        </w:rPr>
        <w:t xml:space="preserve">de estudio en diversas </w:t>
      </w:r>
      <w:r w:rsidR="0051091B">
        <w:rPr>
          <w:sz w:val="26"/>
          <w:szCs w:val="26"/>
          <w:lang w:eastAsia="es-MX"/>
        </w:rPr>
        <w:t>a</w:t>
      </w:r>
      <w:r w:rsidR="007B2F98" w:rsidRPr="00F715E7">
        <w:rPr>
          <w:sz w:val="26"/>
          <w:szCs w:val="26"/>
          <w:lang w:eastAsia="es-MX"/>
        </w:rPr>
        <w:t xml:space="preserve">cciones de </w:t>
      </w:r>
      <w:r w:rsidR="0051091B">
        <w:rPr>
          <w:sz w:val="26"/>
          <w:szCs w:val="26"/>
          <w:lang w:eastAsia="es-MX"/>
        </w:rPr>
        <w:t>i</w:t>
      </w:r>
      <w:r w:rsidR="007B2F98" w:rsidRPr="00F715E7">
        <w:rPr>
          <w:sz w:val="26"/>
          <w:szCs w:val="26"/>
          <w:lang w:eastAsia="es-MX"/>
        </w:rPr>
        <w:t>nconstitucionalidad por esta Suprema Corte.</w:t>
      </w:r>
    </w:p>
    <w:p w14:paraId="6556E073" w14:textId="2FDDEEAD" w:rsidR="007B2F98" w:rsidRPr="00F715E7" w:rsidRDefault="007B2F98" w:rsidP="0098787A">
      <w:pPr>
        <w:pStyle w:val="Estilo1"/>
        <w:numPr>
          <w:ilvl w:val="0"/>
          <w:numId w:val="0"/>
        </w:numPr>
        <w:spacing w:before="0" w:after="0"/>
        <w:ind w:left="720" w:hanging="360"/>
        <w:rPr>
          <w:sz w:val="26"/>
          <w:szCs w:val="26"/>
          <w:lang w:eastAsia="es-MX"/>
        </w:rPr>
      </w:pPr>
    </w:p>
    <w:p w14:paraId="361905D5" w14:textId="19423092" w:rsidR="00211394" w:rsidRPr="00F715E7" w:rsidRDefault="00211394" w:rsidP="0098787A">
      <w:pPr>
        <w:pStyle w:val="CORTE1DATOS0"/>
        <w:numPr>
          <w:ilvl w:val="0"/>
          <w:numId w:val="9"/>
        </w:numPr>
        <w:jc w:val="both"/>
        <w:rPr>
          <w:rFonts w:cs="Arial"/>
          <w:sz w:val="28"/>
          <w:szCs w:val="28"/>
          <w:lang w:val="es-ES_tradnl"/>
        </w:rPr>
      </w:pPr>
      <w:r w:rsidRPr="00F715E7">
        <w:rPr>
          <w:rFonts w:cs="Arial"/>
          <w:sz w:val="28"/>
          <w:szCs w:val="28"/>
          <w:lang w:val="es-ES"/>
        </w:rPr>
        <w:t xml:space="preserve">Acción de Inconstitucionalidad </w:t>
      </w:r>
      <w:r w:rsidRPr="00F715E7">
        <w:rPr>
          <w:rFonts w:cs="Arial"/>
          <w:sz w:val="28"/>
          <w:szCs w:val="28"/>
          <w:lang w:val="es-ES_tradnl"/>
        </w:rPr>
        <w:t>148/2020 y sus acumuladas 150/2020, 152/2020, 153/2020, 154/2020, 229/2020, 230/2020 y 252/2020.</w:t>
      </w:r>
    </w:p>
    <w:p w14:paraId="79017F23" w14:textId="77777777" w:rsidR="00211394" w:rsidRPr="00F715E7" w:rsidRDefault="00211394" w:rsidP="0098787A">
      <w:pPr>
        <w:pStyle w:val="CORTE1DATOS0"/>
        <w:ind w:left="0"/>
        <w:jc w:val="both"/>
        <w:rPr>
          <w:rFonts w:cs="Arial"/>
          <w:sz w:val="28"/>
          <w:szCs w:val="28"/>
          <w:lang w:val="es-ES_tradnl"/>
        </w:rPr>
      </w:pPr>
    </w:p>
    <w:p w14:paraId="49775BD9" w14:textId="39FE49A4" w:rsidR="00211394" w:rsidRPr="00F715E7" w:rsidRDefault="00211394" w:rsidP="0098787A">
      <w:pPr>
        <w:pStyle w:val="CORTE1DATOS0"/>
        <w:spacing w:line="360" w:lineRule="auto"/>
        <w:ind w:left="709"/>
        <w:jc w:val="both"/>
        <w:rPr>
          <w:rFonts w:cs="Arial"/>
          <w:b w:val="0"/>
          <w:bCs/>
          <w:sz w:val="26"/>
          <w:szCs w:val="26"/>
          <w:lang w:val="es-ES_tradnl"/>
        </w:rPr>
      </w:pPr>
      <w:r w:rsidRPr="00F715E7">
        <w:rPr>
          <w:rFonts w:cs="Arial"/>
          <w:b w:val="0"/>
          <w:bCs/>
          <w:sz w:val="26"/>
          <w:szCs w:val="26"/>
          <w:lang w:val="es-ES_tradnl"/>
        </w:rPr>
        <w:t xml:space="preserve">Diversos partidos políticos presentaron escritos de demanda que dieron origen a la </w:t>
      </w:r>
      <w:r w:rsidR="00351B11" w:rsidRPr="00F715E7">
        <w:rPr>
          <w:rFonts w:cs="Arial"/>
          <w:b w:val="0"/>
          <w:bCs/>
          <w:sz w:val="26"/>
          <w:szCs w:val="26"/>
          <w:lang w:val="es-ES_tradnl"/>
        </w:rPr>
        <w:t>A</w:t>
      </w:r>
      <w:r w:rsidRPr="00F715E7">
        <w:rPr>
          <w:rFonts w:cs="Arial"/>
          <w:b w:val="0"/>
          <w:bCs/>
          <w:sz w:val="26"/>
          <w:szCs w:val="26"/>
          <w:lang w:val="es-ES_tradnl"/>
        </w:rPr>
        <w:t>cci</w:t>
      </w:r>
      <w:r w:rsidR="00351B11" w:rsidRPr="00F715E7">
        <w:rPr>
          <w:rFonts w:cs="Arial"/>
          <w:b w:val="0"/>
          <w:bCs/>
          <w:sz w:val="26"/>
          <w:szCs w:val="26"/>
          <w:lang w:val="es-ES_tradnl"/>
        </w:rPr>
        <w:t>ó</w:t>
      </w:r>
      <w:r w:rsidRPr="00F715E7">
        <w:rPr>
          <w:rFonts w:cs="Arial"/>
          <w:b w:val="0"/>
          <w:bCs/>
          <w:sz w:val="26"/>
          <w:szCs w:val="26"/>
          <w:lang w:val="es-ES_tradnl"/>
        </w:rPr>
        <w:t xml:space="preserve">n de </w:t>
      </w:r>
      <w:r w:rsidR="00351B11" w:rsidRPr="00F715E7">
        <w:rPr>
          <w:rFonts w:cs="Arial"/>
          <w:b w:val="0"/>
          <w:bCs/>
          <w:sz w:val="26"/>
          <w:szCs w:val="26"/>
          <w:lang w:val="es-ES_tradnl"/>
        </w:rPr>
        <w:t>I</w:t>
      </w:r>
      <w:r w:rsidRPr="00F715E7">
        <w:rPr>
          <w:rFonts w:cs="Arial"/>
          <w:b w:val="0"/>
          <w:bCs/>
          <w:sz w:val="26"/>
          <w:szCs w:val="26"/>
          <w:lang w:val="es-ES_tradnl"/>
        </w:rPr>
        <w:t xml:space="preserve">nconstitucionalidad </w:t>
      </w:r>
      <w:r w:rsidRPr="00F715E7">
        <w:rPr>
          <w:rFonts w:cs="Arial"/>
          <w:sz w:val="26"/>
          <w:szCs w:val="26"/>
          <w:lang w:val="es-ES_tradnl"/>
        </w:rPr>
        <w:t>148/2020</w:t>
      </w:r>
      <w:r w:rsidRPr="00F715E7">
        <w:rPr>
          <w:rFonts w:cs="Arial"/>
          <w:b w:val="0"/>
          <w:bCs/>
          <w:sz w:val="26"/>
          <w:szCs w:val="26"/>
          <w:lang w:val="es-ES_tradnl"/>
        </w:rPr>
        <w:t xml:space="preserve"> y sus acumuladas, </w:t>
      </w:r>
      <w:r w:rsidRPr="00F715E7">
        <w:rPr>
          <w:rFonts w:cs="Arial"/>
          <w:sz w:val="26"/>
          <w:szCs w:val="26"/>
          <w:lang w:val="es-ES_tradnl"/>
        </w:rPr>
        <w:t>150/2020</w:t>
      </w:r>
      <w:r w:rsidRPr="00F715E7">
        <w:rPr>
          <w:rFonts w:cs="Arial"/>
          <w:b w:val="0"/>
          <w:bCs/>
          <w:sz w:val="26"/>
          <w:szCs w:val="26"/>
          <w:lang w:val="es-ES_tradnl"/>
        </w:rPr>
        <w:t xml:space="preserve">, </w:t>
      </w:r>
      <w:r w:rsidRPr="00F715E7">
        <w:rPr>
          <w:rFonts w:cs="Arial"/>
          <w:sz w:val="26"/>
          <w:szCs w:val="26"/>
          <w:lang w:val="es-ES_tradnl"/>
        </w:rPr>
        <w:t>152/2020</w:t>
      </w:r>
      <w:r w:rsidRPr="00F715E7">
        <w:rPr>
          <w:rFonts w:cs="Arial"/>
          <w:b w:val="0"/>
          <w:bCs/>
          <w:sz w:val="26"/>
          <w:szCs w:val="26"/>
          <w:lang w:val="es-ES_tradnl"/>
        </w:rPr>
        <w:t xml:space="preserve">, </w:t>
      </w:r>
      <w:r w:rsidRPr="00F715E7">
        <w:rPr>
          <w:rFonts w:cs="Arial"/>
          <w:sz w:val="26"/>
          <w:szCs w:val="26"/>
          <w:lang w:val="es-ES_tradnl"/>
        </w:rPr>
        <w:t>153/2020</w:t>
      </w:r>
      <w:r w:rsidRPr="00F715E7">
        <w:rPr>
          <w:rFonts w:cs="Arial"/>
          <w:b w:val="0"/>
          <w:bCs/>
          <w:sz w:val="26"/>
          <w:szCs w:val="26"/>
          <w:lang w:val="es-ES_tradnl"/>
        </w:rPr>
        <w:t xml:space="preserve">, </w:t>
      </w:r>
      <w:r w:rsidRPr="00F715E7">
        <w:rPr>
          <w:rFonts w:cs="Arial"/>
          <w:sz w:val="26"/>
          <w:szCs w:val="26"/>
          <w:lang w:val="es-ES_tradnl"/>
        </w:rPr>
        <w:t>154/2020</w:t>
      </w:r>
      <w:r w:rsidRPr="00F715E7">
        <w:rPr>
          <w:rFonts w:cs="Arial"/>
          <w:b w:val="0"/>
          <w:bCs/>
          <w:sz w:val="26"/>
          <w:szCs w:val="26"/>
          <w:lang w:val="es-ES_tradnl"/>
        </w:rPr>
        <w:t xml:space="preserve">, </w:t>
      </w:r>
      <w:r w:rsidRPr="00F715E7">
        <w:rPr>
          <w:rFonts w:cs="Arial"/>
          <w:sz w:val="26"/>
          <w:szCs w:val="26"/>
          <w:lang w:val="es-ES_tradnl"/>
        </w:rPr>
        <w:t>229/2020</w:t>
      </w:r>
      <w:r w:rsidRPr="00F715E7">
        <w:rPr>
          <w:rFonts w:cs="Arial"/>
          <w:b w:val="0"/>
          <w:bCs/>
          <w:sz w:val="26"/>
          <w:szCs w:val="26"/>
          <w:lang w:val="es-ES_tradnl"/>
        </w:rPr>
        <w:t xml:space="preserve">, </w:t>
      </w:r>
      <w:r w:rsidRPr="00F715E7">
        <w:rPr>
          <w:rFonts w:cs="Arial"/>
          <w:sz w:val="26"/>
          <w:szCs w:val="26"/>
          <w:lang w:val="es-ES_tradnl"/>
        </w:rPr>
        <w:t>230/2020</w:t>
      </w:r>
      <w:r w:rsidRPr="00F715E7">
        <w:rPr>
          <w:rFonts w:cs="Arial"/>
          <w:b w:val="0"/>
          <w:bCs/>
          <w:sz w:val="26"/>
          <w:szCs w:val="26"/>
          <w:lang w:val="es-ES_tradnl"/>
        </w:rPr>
        <w:t xml:space="preserve"> y </w:t>
      </w:r>
      <w:r w:rsidRPr="00F715E7">
        <w:rPr>
          <w:rFonts w:cs="Arial"/>
          <w:sz w:val="26"/>
          <w:szCs w:val="26"/>
          <w:lang w:val="es-ES_tradnl"/>
        </w:rPr>
        <w:t>252/2020</w:t>
      </w:r>
      <w:r w:rsidRPr="00F715E7">
        <w:rPr>
          <w:rFonts w:cs="Arial"/>
          <w:b w:val="0"/>
          <w:bCs/>
          <w:sz w:val="26"/>
          <w:szCs w:val="26"/>
          <w:lang w:val="es-ES_tradnl"/>
        </w:rPr>
        <w:t>.</w:t>
      </w:r>
      <w:r w:rsidRPr="00F715E7">
        <w:rPr>
          <w:rStyle w:val="Refdenotaalpie"/>
          <w:rFonts w:cs="Arial"/>
          <w:b w:val="0"/>
          <w:bCs/>
          <w:sz w:val="26"/>
          <w:szCs w:val="26"/>
          <w:lang w:val="es-ES_tradnl"/>
        </w:rPr>
        <w:footnoteReference w:id="39"/>
      </w:r>
    </w:p>
    <w:p w14:paraId="030B70AC" w14:textId="77777777" w:rsidR="00211394" w:rsidRPr="00F715E7" w:rsidRDefault="00211394" w:rsidP="0098787A">
      <w:pPr>
        <w:pStyle w:val="CORTE1DATOS0"/>
        <w:ind w:left="709"/>
        <w:jc w:val="both"/>
        <w:rPr>
          <w:rFonts w:cs="Arial"/>
          <w:b w:val="0"/>
          <w:bCs/>
          <w:sz w:val="28"/>
          <w:szCs w:val="28"/>
          <w:lang w:val="es-ES_tradnl"/>
        </w:rPr>
      </w:pPr>
    </w:p>
    <w:p w14:paraId="68EE2BFB" w14:textId="6B5BFDCE" w:rsidR="00211394" w:rsidRPr="00F715E7" w:rsidRDefault="00211394" w:rsidP="001E1EF8">
      <w:pPr>
        <w:spacing w:before="0" w:after="0"/>
        <w:ind w:left="709"/>
        <w:rPr>
          <w:sz w:val="26"/>
          <w:szCs w:val="26"/>
        </w:rPr>
      </w:pPr>
      <w:r w:rsidRPr="00F715E7">
        <w:rPr>
          <w:sz w:val="26"/>
          <w:szCs w:val="26"/>
        </w:rPr>
        <w:t xml:space="preserve">Tras la admisión y acumulación de las acciones referidas por el Ministro </w:t>
      </w:r>
      <w:r w:rsidR="009A1EF2" w:rsidRPr="00F715E7">
        <w:rPr>
          <w:sz w:val="26"/>
          <w:szCs w:val="26"/>
        </w:rPr>
        <w:t>I</w:t>
      </w:r>
      <w:r w:rsidRPr="00F715E7">
        <w:rPr>
          <w:sz w:val="26"/>
          <w:szCs w:val="26"/>
        </w:rPr>
        <w:t xml:space="preserve">nstructor y su trámite correspondiente, en sesión de veintitrés de noviembre de dos mil veinte, este Pleno resolvió declarar la invalidez del Decreto Número 576, por el que se reformaron y adicionaron diversas disposiciones de la Constitución Política del Estado Libre y </w:t>
      </w:r>
      <w:r w:rsidRPr="00F715E7">
        <w:rPr>
          <w:sz w:val="26"/>
          <w:szCs w:val="26"/>
        </w:rPr>
        <w:lastRenderedPageBreak/>
        <w:t xml:space="preserve">Soberano de Veracruz de Ignacio de la Llave, publicado en la Gaceta Oficial de dicha entidad federativa el veintidós de junio de dos mil veinte. </w:t>
      </w:r>
    </w:p>
    <w:p w14:paraId="04844976" w14:textId="77777777" w:rsidR="00C76251" w:rsidRPr="00F715E7" w:rsidRDefault="00C76251" w:rsidP="001E1EF8">
      <w:pPr>
        <w:spacing w:before="0" w:after="0"/>
        <w:ind w:left="709"/>
        <w:rPr>
          <w:sz w:val="26"/>
          <w:szCs w:val="26"/>
        </w:rPr>
      </w:pPr>
    </w:p>
    <w:p w14:paraId="141A308D" w14:textId="4324B0E3" w:rsidR="00211394" w:rsidRPr="00F715E7" w:rsidRDefault="00211394" w:rsidP="0098787A">
      <w:pPr>
        <w:pStyle w:val="TEXTONORMAL"/>
        <w:ind w:left="709" w:firstLine="0"/>
        <w:rPr>
          <w:sz w:val="26"/>
          <w:szCs w:val="26"/>
          <w:lang w:val="es-ES"/>
        </w:rPr>
      </w:pPr>
      <w:r w:rsidRPr="00F715E7">
        <w:rPr>
          <w:sz w:val="26"/>
          <w:szCs w:val="26"/>
        </w:rPr>
        <w:t>Aunado a lo anterior, se determinó la reviviscencia de las normas existentes previas a la reforma realizada mediante el decreto invalidado, a efecto de que rigieran el proceso electoral de dos mil veintiuno en esa entidad federativa</w:t>
      </w:r>
      <w:r w:rsidR="00351B11" w:rsidRPr="00F715E7">
        <w:rPr>
          <w:sz w:val="26"/>
          <w:szCs w:val="26"/>
        </w:rPr>
        <w:t>. Al respecto,</w:t>
      </w:r>
      <w:r w:rsidRPr="00F715E7">
        <w:rPr>
          <w:sz w:val="26"/>
          <w:szCs w:val="26"/>
        </w:rPr>
        <w:t xml:space="preserve"> se señaló que </w:t>
      </w:r>
      <w:r w:rsidRPr="00F715E7">
        <w:rPr>
          <w:sz w:val="26"/>
          <w:szCs w:val="26"/>
          <w:lang w:val="es-ES"/>
        </w:rPr>
        <w:t>conforme a lo dispuesto por el artículo 105, fracción II, penúltimo párrafo, de la Constitución Federal, la legislación anterior que cobraría de nuevo vigor no podía ser reformada durante ese proceso electoral, salvo que se tratara de modificaciones no fundamentales.</w:t>
      </w:r>
    </w:p>
    <w:p w14:paraId="4BC55F13" w14:textId="77777777" w:rsidR="00211394" w:rsidRPr="00F715E7" w:rsidRDefault="00211394" w:rsidP="0098787A">
      <w:pPr>
        <w:pStyle w:val="TEXTONORMAL"/>
        <w:ind w:left="709" w:firstLine="0"/>
        <w:rPr>
          <w:sz w:val="26"/>
          <w:szCs w:val="26"/>
          <w:lang w:val="es-ES"/>
        </w:rPr>
      </w:pPr>
    </w:p>
    <w:p w14:paraId="6DDD2B2D" w14:textId="1BDAF913" w:rsidR="00211394" w:rsidRPr="00F715E7" w:rsidRDefault="00211394" w:rsidP="0098787A">
      <w:pPr>
        <w:pStyle w:val="TEXTONORMAL"/>
        <w:ind w:left="709" w:firstLine="0"/>
        <w:rPr>
          <w:sz w:val="26"/>
          <w:szCs w:val="26"/>
        </w:rPr>
      </w:pPr>
      <w:r w:rsidRPr="00F715E7">
        <w:rPr>
          <w:sz w:val="26"/>
          <w:szCs w:val="26"/>
        </w:rPr>
        <w:t>Esto</w:t>
      </w:r>
      <w:r w:rsidR="00351B11" w:rsidRPr="00F715E7">
        <w:rPr>
          <w:sz w:val="26"/>
          <w:szCs w:val="26"/>
        </w:rPr>
        <w:t>, toda vez</w:t>
      </w:r>
      <w:r w:rsidRPr="00F715E7">
        <w:rPr>
          <w:sz w:val="26"/>
          <w:szCs w:val="26"/>
        </w:rPr>
        <w:t xml:space="preserve"> que e</w:t>
      </w:r>
      <w:r w:rsidR="00351B11" w:rsidRPr="00F715E7">
        <w:rPr>
          <w:sz w:val="26"/>
          <w:szCs w:val="26"/>
        </w:rPr>
        <w:t>ste</w:t>
      </w:r>
      <w:r w:rsidRPr="00F715E7">
        <w:rPr>
          <w:sz w:val="26"/>
          <w:szCs w:val="26"/>
        </w:rPr>
        <w:t xml:space="preserve"> Alto Tribunal advirtió que el Poder Legislativo del Estado de Veracruz de Ignacio de la Llave debió abstenerse de emitir disposiciones susceptibles de afectar directamente a los pueblos y comunidades indígenas o afromexicanas de la entidad, </w:t>
      </w:r>
      <w:r w:rsidR="00351B11" w:rsidRPr="00F715E7">
        <w:rPr>
          <w:sz w:val="26"/>
          <w:szCs w:val="26"/>
        </w:rPr>
        <w:t>al no haberse implementado</w:t>
      </w:r>
      <w:r w:rsidRPr="00F715E7">
        <w:rPr>
          <w:sz w:val="26"/>
          <w:szCs w:val="26"/>
        </w:rPr>
        <w:t xml:space="preserve"> un procedimiento de consulta previa, informada, culturalmente adecuada a través de sus representantes o autoridades tradicionales y de buena fe, en el que se hubiera garantizado el derecho de protección a la salud y la propia vida de la población indígena y afromexicana del Estado de Veracruz. </w:t>
      </w:r>
    </w:p>
    <w:p w14:paraId="58CE3DEE" w14:textId="3A920FFD" w:rsidR="00211394" w:rsidRPr="00F715E7" w:rsidRDefault="00211394" w:rsidP="001E1EF8">
      <w:pPr>
        <w:spacing w:before="0" w:after="0"/>
        <w:ind w:left="709"/>
        <w:rPr>
          <w:sz w:val="26"/>
          <w:szCs w:val="26"/>
        </w:rPr>
      </w:pPr>
    </w:p>
    <w:p w14:paraId="7B2AB28B" w14:textId="1009BB1F" w:rsidR="00211394" w:rsidRPr="00F715E7" w:rsidRDefault="00211394" w:rsidP="0098787A">
      <w:pPr>
        <w:pStyle w:val="CORTE1DATOS0"/>
        <w:numPr>
          <w:ilvl w:val="0"/>
          <w:numId w:val="9"/>
        </w:numPr>
        <w:ind w:left="709"/>
        <w:jc w:val="both"/>
        <w:rPr>
          <w:rFonts w:cs="Arial"/>
          <w:sz w:val="28"/>
          <w:szCs w:val="28"/>
          <w:lang w:val="es-ES"/>
        </w:rPr>
      </w:pPr>
      <w:r w:rsidRPr="00F715E7">
        <w:rPr>
          <w:rFonts w:cs="Arial"/>
          <w:sz w:val="28"/>
          <w:szCs w:val="28"/>
          <w:lang w:val="es-ES"/>
        </w:rPr>
        <w:t>Acción De Inconstitucionalidad 241/2020 y sus acumuladas 242/2020, 243/2020, 248/2020 y 251/2020.</w:t>
      </w:r>
    </w:p>
    <w:p w14:paraId="00FC6BAE" w14:textId="77777777" w:rsidR="00211394" w:rsidRPr="00F715E7" w:rsidRDefault="00211394" w:rsidP="001E1EF8">
      <w:pPr>
        <w:pStyle w:val="corte1datos"/>
        <w:spacing w:before="0" w:after="0" w:line="360" w:lineRule="auto"/>
        <w:ind w:left="709"/>
        <w:contextualSpacing/>
        <w:jc w:val="both"/>
        <w:rPr>
          <w:rFonts w:cs="Arial"/>
          <w:sz w:val="28"/>
          <w:szCs w:val="28"/>
          <w:lang w:val="es-ES"/>
        </w:rPr>
      </w:pPr>
    </w:p>
    <w:p w14:paraId="6EBBB44C" w14:textId="496758D6" w:rsidR="00211394" w:rsidRPr="00F715E7" w:rsidRDefault="00211394" w:rsidP="0098787A">
      <w:pPr>
        <w:pStyle w:val="CORTE1DATOS0"/>
        <w:spacing w:line="360" w:lineRule="auto"/>
        <w:ind w:left="709"/>
        <w:jc w:val="both"/>
        <w:rPr>
          <w:rFonts w:cs="Arial"/>
          <w:sz w:val="26"/>
          <w:szCs w:val="26"/>
        </w:rPr>
      </w:pPr>
      <w:r w:rsidRPr="00F715E7">
        <w:rPr>
          <w:rFonts w:cs="Arial"/>
          <w:b w:val="0"/>
          <w:bCs/>
          <w:sz w:val="26"/>
          <w:szCs w:val="26"/>
          <w:lang w:val="es-ES_tradnl"/>
        </w:rPr>
        <w:lastRenderedPageBreak/>
        <w:t xml:space="preserve">Diversos partidos políticos presentaron demandas que dieron origen a la </w:t>
      </w:r>
      <w:r w:rsidR="009A1EF2" w:rsidRPr="00F715E7">
        <w:rPr>
          <w:rFonts w:cs="Arial"/>
          <w:b w:val="0"/>
          <w:bCs/>
          <w:sz w:val="26"/>
          <w:szCs w:val="26"/>
          <w:lang w:val="es-ES_tradnl"/>
        </w:rPr>
        <w:t>A</w:t>
      </w:r>
      <w:r w:rsidRPr="00F715E7">
        <w:rPr>
          <w:rFonts w:cs="Arial"/>
          <w:b w:val="0"/>
          <w:bCs/>
          <w:sz w:val="26"/>
          <w:szCs w:val="26"/>
          <w:lang w:val="es-ES_tradnl"/>
        </w:rPr>
        <w:t>cci</w:t>
      </w:r>
      <w:r w:rsidR="009A1EF2" w:rsidRPr="00F715E7">
        <w:rPr>
          <w:rFonts w:cs="Arial"/>
          <w:b w:val="0"/>
          <w:bCs/>
          <w:sz w:val="26"/>
          <w:szCs w:val="26"/>
          <w:lang w:val="es-ES_tradnl"/>
        </w:rPr>
        <w:t>ón</w:t>
      </w:r>
      <w:r w:rsidRPr="00F715E7">
        <w:rPr>
          <w:rFonts w:cs="Arial"/>
          <w:b w:val="0"/>
          <w:bCs/>
          <w:sz w:val="26"/>
          <w:szCs w:val="26"/>
          <w:lang w:val="es-ES_tradnl"/>
        </w:rPr>
        <w:t xml:space="preserve"> de </w:t>
      </w:r>
      <w:r w:rsidR="009A1EF2" w:rsidRPr="00F715E7">
        <w:rPr>
          <w:rFonts w:cs="Arial"/>
          <w:b w:val="0"/>
          <w:bCs/>
          <w:sz w:val="26"/>
          <w:szCs w:val="26"/>
          <w:lang w:val="es-ES_tradnl"/>
        </w:rPr>
        <w:t>I</w:t>
      </w:r>
      <w:r w:rsidRPr="00F715E7">
        <w:rPr>
          <w:rFonts w:cs="Arial"/>
          <w:b w:val="0"/>
          <w:bCs/>
          <w:sz w:val="26"/>
          <w:szCs w:val="26"/>
          <w:lang w:val="es-ES_tradnl"/>
        </w:rPr>
        <w:t xml:space="preserve">nconstitucionalidad </w:t>
      </w:r>
      <w:r w:rsidRPr="00F715E7">
        <w:rPr>
          <w:rFonts w:cs="Arial"/>
          <w:sz w:val="26"/>
          <w:szCs w:val="26"/>
          <w:lang w:val="es-ES_tradnl"/>
        </w:rPr>
        <w:t>241/2020</w:t>
      </w:r>
      <w:r w:rsidRPr="00F715E7">
        <w:rPr>
          <w:rFonts w:cs="Arial"/>
          <w:b w:val="0"/>
          <w:bCs/>
          <w:sz w:val="26"/>
          <w:szCs w:val="26"/>
          <w:lang w:val="es-ES_tradnl"/>
        </w:rPr>
        <w:t xml:space="preserve"> y sus acumuladas </w:t>
      </w:r>
      <w:r w:rsidRPr="00F715E7">
        <w:rPr>
          <w:rFonts w:cs="Arial"/>
          <w:sz w:val="26"/>
          <w:szCs w:val="26"/>
          <w:lang w:val="es-ES_tradnl"/>
        </w:rPr>
        <w:t>242/2020</w:t>
      </w:r>
      <w:r w:rsidRPr="00F715E7">
        <w:rPr>
          <w:rFonts w:cs="Arial"/>
          <w:b w:val="0"/>
          <w:bCs/>
          <w:sz w:val="26"/>
          <w:szCs w:val="26"/>
          <w:lang w:val="es-ES_tradnl"/>
        </w:rPr>
        <w:t xml:space="preserve">, </w:t>
      </w:r>
      <w:r w:rsidRPr="00F715E7">
        <w:rPr>
          <w:rFonts w:cs="Arial"/>
          <w:sz w:val="26"/>
          <w:szCs w:val="26"/>
          <w:lang w:val="es-ES_tradnl"/>
        </w:rPr>
        <w:t>243/2020</w:t>
      </w:r>
      <w:r w:rsidRPr="00F715E7">
        <w:rPr>
          <w:rFonts w:cs="Arial"/>
          <w:b w:val="0"/>
          <w:bCs/>
          <w:sz w:val="26"/>
          <w:szCs w:val="26"/>
          <w:lang w:val="es-ES_tradnl"/>
        </w:rPr>
        <w:t xml:space="preserve">, </w:t>
      </w:r>
      <w:r w:rsidRPr="00F715E7">
        <w:rPr>
          <w:rFonts w:cs="Arial"/>
          <w:sz w:val="26"/>
          <w:szCs w:val="26"/>
          <w:lang w:val="es-ES_tradnl"/>
        </w:rPr>
        <w:t>248/2020</w:t>
      </w:r>
      <w:r w:rsidRPr="00F715E7">
        <w:rPr>
          <w:rFonts w:cs="Arial"/>
          <w:b w:val="0"/>
          <w:bCs/>
          <w:sz w:val="26"/>
          <w:szCs w:val="26"/>
          <w:lang w:val="es-ES_tradnl"/>
        </w:rPr>
        <w:t xml:space="preserve"> y </w:t>
      </w:r>
      <w:r w:rsidRPr="00F715E7">
        <w:rPr>
          <w:rFonts w:cs="Arial"/>
          <w:sz w:val="26"/>
          <w:szCs w:val="26"/>
          <w:lang w:val="es-ES_tradnl"/>
        </w:rPr>
        <w:t>251/2020</w:t>
      </w:r>
      <w:r w:rsidRPr="00F715E7">
        <w:rPr>
          <w:rFonts w:cs="Arial"/>
          <w:b w:val="0"/>
          <w:bCs/>
          <w:sz w:val="26"/>
          <w:szCs w:val="26"/>
          <w:lang w:val="es-ES_tradnl"/>
        </w:rPr>
        <w:t>.</w:t>
      </w:r>
      <w:r w:rsidRPr="00F715E7">
        <w:rPr>
          <w:rStyle w:val="Refdenotaalpie"/>
          <w:rFonts w:cs="Arial"/>
          <w:b w:val="0"/>
          <w:bCs/>
          <w:sz w:val="26"/>
          <w:szCs w:val="26"/>
          <w:lang w:val="es-ES_tradnl"/>
        </w:rPr>
        <w:footnoteReference w:id="40"/>
      </w:r>
    </w:p>
    <w:p w14:paraId="3200A965" w14:textId="77777777" w:rsidR="00211394" w:rsidRPr="00F715E7" w:rsidRDefault="00211394" w:rsidP="0098787A">
      <w:pPr>
        <w:spacing w:before="0" w:after="0"/>
        <w:ind w:left="709"/>
        <w:rPr>
          <w:sz w:val="26"/>
          <w:szCs w:val="26"/>
        </w:rPr>
      </w:pPr>
    </w:p>
    <w:p w14:paraId="5E6F485A" w14:textId="73550FD6" w:rsidR="00211394" w:rsidRPr="00F715E7" w:rsidRDefault="00211394" w:rsidP="0098787A">
      <w:pPr>
        <w:spacing w:before="0" w:after="0"/>
        <w:ind w:left="709"/>
        <w:rPr>
          <w:bCs/>
          <w:sz w:val="26"/>
          <w:szCs w:val="26"/>
        </w:rPr>
      </w:pPr>
      <w:r w:rsidRPr="00F715E7">
        <w:rPr>
          <w:sz w:val="26"/>
          <w:szCs w:val="26"/>
        </w:rPr>
        <w:t xml:space="preserve">Tras la admisión y acumulación de las acciones de inconstitucionalidad por la Ministra </w:t>
      </w:r>
      <w:r w:rsidR="00D17AD5" w:rsidRPr="00F715E7">
        <w:rPr>
          <w:sz w:val="26"/>
          <w:szCs w:val="26"/>
        </w:rPr>
        <w:t>i</w:t>
      </w:r>
      <w:r w:rsidRPr="00F715E7">
        <w:rPr>
          <w:sz w:val="26"/>
          <w:szCs w:val="26"/>
        </w:rPr>
        <w:t xml:space="preserve">nstructora, y su trámite correspondiente, en sesión de tres de diciembre de dos mil veinte, en lo que aquí interesa, este Pleno resolvió declarar la invalidez del </w:t>
      </w:r>
      <w:r w:rsidRPr="00F715E7">
        <w:rPr>
          <w:sz w:val="26"/>
          <w:szCs w:val="26"/>
          <w:lang w:val="es-ES"/>
        </w:rPr>
        <w:t>Decreto</w:t>
      </w:r>
      <w:r w:rsidRPr="00F715E7">
        <w:rPr>
          <w:sz w:val="26"/>
          <w:szCs w:val="26"/>
        </w:rPr>
        <w:t xml:space="preserve"> Número 580 por el que se reforma</w:t>
      </w:r>
      <w:r w:rsidR="009A1EF2" w:rsidRPr="00F715E7">
        <w:rPr>
          <w:sz w:val="26"/>
          <w:szCs w:val="26"/>
        </w:rPr>
        <w:t>ro</w:t>
      </w:r>
      <w:r w:rsidRPr="00F715E7">
        <w:rPr>
          <w:sz w:val="26"/>
          <w:szCs w:val="26"/>
        </w:rPr>
        <w:t>n, adiciona</w:t>
      </w:r>
      <w:r w:rsidR="009A1EF2" w:rsidRPr="00F715E7">
        <w:rPr>
          <w:sz w:val="26"/>
          <w:szCs w:val="26"/>
        </w:rPr>
        <w:t>ro</w:t>
      </w:r>
      <w:r w:rsidRPr="00F715E7">
        <w:rPr>
          <w:sz w:val="26"/>
          <w:szCs w:val="26"/>
        </w:rPr>
        <w:t>n y deroga</w:t>
      </w:r>
      <w:r w:rsidR="009A1EF2" w:rsidRPr="00F715E7">
        <w:rPr>
          <w:sz w:val="26"/>
          <w:szCs w:val="26"/>
        </w:rPr>
        <w:t>ro</w:t>
      </w:r>
      <w:r w:rsidRPr="00F715E7">
        <w:rPr>
          <w:sz w:val="26"/>
          <w:szCs w:val="26"/>
        </w:rPr>
        <w:t xml:space="preserve">n diversas disposiciones del Código Electoral para el Estado de Veracruz de Ignacio de la Llave y se reforman los artículos 22 y 171, ambos de la Ley Orgánica del Municipio Libre, publicado en la Gaceta Oficial de dicha entidad federativa el veintiocho de julio de dos mil veinte y, por extensión, la del </w:t>
      </w:r>
      <w:r w:rsidRPr="00F715E7">
        <w:rPr>
          <w:bCs/>
          <w:sz w:val="26"/>
          <w:szCs w:val="26"/>
        </w:rPr>
        <w:t>Decreto Número 594 que reforma, adiciona y deroga diversas disposiciones del Código Electoral para el Estado de Veracruz, publicado en dicho medio de difusión oficial el primero de octubre de dos mil veinte.</w:t>
      </w:r>
    </w:p>
    <w:p w14:paraId="6E379B87" w14:textId="77777777" w:rsidR="00211394" w:rsidRPr="00F715E7" w:rsidRDefault="00211394" w:rsidP="0098787A">
      <w:pPr>
        <w:spacing w:before="0" w:after="0"/>
        <w:ind w:left="709"/>
        <w:rPr>
          <w:bCs/>
          <w:sz w:val="26"/>
          <w:szCs w:val="26"/>
        </w:rPr>
      </w:pPr>
    </w:p>
    <w:p w14:paraId="66568D64" w14:textId="4030A87E" w:rsidR="00211394" w:rsidRPr="00F715E7" w:rsidRDefault="00211394" w:rsidP="0098787A">
      <w:pPr>
        <w:pStyle w:val="TEXTONORMAL"/>
        <w:ind w:left="709" w:firstLine="0"/>
        <w:rPr>
          <w:sz w:val="26"/>
          <w:szCs w:val="26"/>
          <w:lang w:val="es-ES"/>
        </w:rPr>
      </w:pPr>
      <w:r w:rsidRPr="00F715E7">
        <w:rPr>
          <w:sz w:val="26"/>
          <w:szCs w:val="26"/>
        </w:rPr>
        <w:t xml:space="preserve">Además, se determinó la reviviscencia de las normas existentes previas a la reforma realizada mediante el decreto invalidado, a efecto de que rigieran el proceso electoral de dos mil veintiuno en esa entidad federativa; y se señaló que </w:t>
      </w:r>
      <w:r w:rsidRPr="00F715E7">
        <w:rPr>
          <w:sz w:val="26"/>
          <w:szCs w:val="26"/>
          <w:lang w:val="es-ES"/>
        </w:rPr>
        <w:t>conforme a lo dispuesto por el artículo 105, fracción II, penúltimo párrafo</w:t>
      </w:r>
      <w:r w:rsidR="0051091B">
        <w:rPr>
          <w:sz w:val="26"/>
          <w:szCs w:val="26"/>
          <w:lang w:val="es-ES"/>
        </w:rPr>
        <w:t>,</w:t>
      </w:r>
      <w:r w:rsidRPr="00F715E7">
        <w:rPr>
          <w:sz w:val="26"/>
          <w:szCs w:val="26"/>
          <w:lang w:val="es-ES"/>
        </w:rPr>
        <w:t xml:space="preserve"> de la Constitución Federal, la legislación anterior que cobraría de nuevo vigor no podía ser reformada durante ese proceso electoral, salvo que se tratara de modificaciones no fundamentales.</w:t>
      </w:r>
    </w:p>
    <w:p w14:paraId="217B1F34" w14:textId="77777777" w:rsidR="00211394" w:rsidRPr="00F715E7" w:rsidRDefault="00211394" w:rsidP="0098787A">
      <w:pPr>
        <w:pStyle w:val="TEXTONORMAL"/>
        <w:ind w:left="709" w:firstLine="0"/>
        <w:rPr>
          <w:sz w:val="26"/>
          <w:szCs w:val="26"/>
          <w:lang w:val="es-ES"/>
        </w:rPr>
      </w:pPr>
    </w:p>
    <w:p w14:paraId="659FF2FE" w14:textId="188DE341" w:rsidR="009A1EF2" w:rsidRPr="00F715E7" w:rsidRDefault="009A1EF2" w:rsidP="0098787A">
      <w:pPr>
        <w:pStyle w:val="TEXTONORMAL"/>
        <w:ind w:left="709" w:firstLine="0"/>
        <w:rPr>
          <w:sz w:val="26"/>
          <w:szCs w:val="26"/>
        </w:rPr>
      </w:pPr>
      <w:r w:rsidRPr="00F715E7">
        <w:rPr>
          <w:sz w:val="26"/>
          <w:szCs w:val="26"/>
          <w:lang w:val="es-ES"/>
        </w:rPr>
        <w:lastRenderedPageBreak/>
        <w:t>E</w:t>
      </w:r>
      <w:r w:rsidR="00211394" w:rsidRPr="00F715E7">
        <w:rPr>
          <w:sz w:val="26"/>
          <w:szCs w:val="26"/>
          <w:lang w:val="es-ES"/>
        </w:rPr>
        <w:t xml:space="preserve">l </w:t>
      </w:r>
      <w:r w:rsidRPr="00F715E7">
        <w:rPr>
          <w:sz w:val="26"/>
          <w:szCs w:val="26"/>
          <w:lang w:val="es-ES"/>
        </w:rPr>
        <w:t xml:space="preserve">Tribunal </w:t>
      </w:r>
      <w:r w:rsidR="00211394" w:rsidRPr="00F715E7">
        <w:rPr>
          <w:sz w:val="26"/>
          <w:szCs w:val="26"/>
          <w:lang w:val="es-ES"/>
        </w:rPr>
        <w:t>Pleno de est</w:t>
      </w:r>
      <w:r w:rsidRPr="00F715E7">
        <w:rPr>
          <w:sz w:val="26"/>
          <w:szCs w:val="26"/>
          <w:lang w:val="es-ES"/>
        </w:rPr>
        <w:t>e</w:t>
      </w:r>
      <w:r w:rsidR="00211394" w:rsidRPr="00F715E7">
        <w:rPr>
          <w:sz w:val="26"/>
          <w:szCs w:val="26"/>
          <w:lang w:val="es-ES"/>
        </w:rPr>
        <w:t xml:space="preserve"> </w:t>
      </w:r>
      <w:r w:rsidRPr="00F715E7">
        <w:rPr>
          <w:sz w:val="26"/>
          <w:szCs w:val="26"/>
          <w:lang w:val="es-ES"/>
        </w:rPr>
        <w:t xml:space="preserve">Máximo Tribunal </w:t>
      </w:r>
      <w:r w:rsidR="00211394" w:rsidRPr="00F715E7">
        <w:rPr>
          <w:sz w:val="26"/>
          <w:szCs w:val="26"/>
        </w:rPr>
        <w:t>advirtió</w:t>
      </w:r>
      <w:r w:rsidRPr="00F715E7">
        <w:rPr>
          <w:sz w:val="26"/>
          <w:szCs w:val="26"/>
        </w:rPr>
        <w:t xml:space="preserve"> una</w:t>
      </w:r>
      <w:r w:rsidR="00211394" w:rsidRPr="00F715E7">
        <w:rPr>
          <w:sz w:val="26"/>
          <w:szCs w:val="26"/>
        </w:rPr>
        <w:t xml:space="preserve"> violación al procedimiento legislativo, </w:t>
      </w:r>
      <w:r w:rsidR="00211394" w:rsidRPr="00F715E7">
        <w:rPr>
          <w:sz w:val="26"/>
          <w:szCs w:val="26"/>
          <w:lang w:val="es-MX"/>
        </w:rPr>
        <w:t>toda vez que en el Decreto</w:t>
      </w:r>
      <w:r w:rsidR="00211394" w:rsidRPr="00F715E7">
        <w:rPr>
          <w:sz w:val="26"/>
          <w:szCs w:val="26"/>
        </w:rPr>
        <w:t xml:space="preserve"> número 580</w:t>
      </w:r>
      <w:r w:rsidRPr="00F715E7">
        <w:rPr>
          <w:sz w:val="26"/>
          <w:szCs w:val="26"/>
        </w:rPr>
        <w:t>,</w:t>
      </w:r>
      <w:r w:rsidR="00211394" w:rsidRPr="00F715E7">
        <w:rPr>
          <w:sz w:val="26"/>
          <w:szCs w:val="26"/>
        </w:rPr>
        <w:t xml:space="preserve"> incid</w:t>
      </w:r>
      <w:r w:rsidRPr="00F715E7">
        <w:rPr>
          <w:sz w:val="26"/>
          <w:szCs w:val="26"/>
        </w:rPr>
        <w:t>ía</w:t>
      </w:r>
      <w:r w:rsidR="00211394" w:rsidRPr="00F715E7">
        <w:rPr>
          <w:sz w:val="26"/>
          <w:szCs w:val="26"/>
        </w:rPr>
        <w:t xml:space="preserve"> en la libre determinación y autonomía en la autoorganización y gobierno internos, de los pueblos y comunidades indígenas y afromexicanas, </w:t>
      </w:r>
      <w:r w:rsidRPr="00F715E7">
        <w:rPr>
          <w:sz w:val="26"/>
          <w:szCs w:val="26"/>
        </w:rPr>
        <w:t>y no se había llevado a cabo</w:t>
      </w:r>
      <w:r w:rsidR="00211394" w:rsidRPr="00F715E7">
        <w:rPr>
          <w:sz w:val="26"/>
          <w:szCs w:val="26"/>
        </w:rPr>
        <w:t xml:space="preserve"> </w:t>
      </w:r>
      <w:r w:rsidR="00211394" w:rsidRPr="00F715E7">
        <w:rPr>
          <w:sz w:val="26"/>
          <w:szCs w:val="26"/>
          <w:lang w:val="es-MX"/>
        </w:rPr>
        <w:t xml:space="preserve">una consulta </w:t>
      </w:r>
      <w:r w:rsidR="00211394" w:rsidRPr="00F715E7">
        <w:rPr>
          <w:sz w:val="26"/>
          <w:szCs w:val="26"/>
        </w:rPr>
        <w:t>previa, culturalmente adecuada a través de los representantes o autoridades tradicionales, informada y de buena fe</w:t>
      </w:r>
      <w:r w:rsidRPr="00F715E7">
        <w:rPr>
          <w:sz w:val="26"/>
          <w:szCs w:val="26"/>
        </w:rPr>
        <w:t>.</w:t>
      </w:r>
    </w:p>
    <w:p w14:paraId="075B0D83" w14:textId="77777777" w:rsidR="009A1EF2" w:rsidRPr="00F715E7" w:rsidRDefault="009A1EF2" w:rsidP="0098787A">
      <w:pPr>
        <w:pStyle w:val="TEXTONORMAL"/>
        <w:ind w:left="709" w:firstLine="0"/>
        <w:rPr>
          <w:sz w:val="26"/>
          <w:szCs w:val="26"/>
        </w:rPr>
      </w:pPr>
    </w:p>
    <w:p w14:paraId="0B68DA9F" w14:textId="31A38541" w:rsidR="00211394" w:rsidRPr="00F715E7" w:rsidRDefault="009A1EF2" w:rsidP="0098787A">
      <w:pPr>
        <w:pStyle w:val="TEXTONORMAL"/>
        <w:ind w:left="709" w:firstLine="0"/>
        <w:rPr>
          <w:sz w:val="26"/>
          <w:szCs w:val="26"/>
          <w:lang w:val="es-MX"/>
        </w:rPr>
      </w:pPr>
      <w:r w:rsidRPr="00F715E7">
        <w:rPr>
          <w:sz w:val="26"/>
          <w:szCs w:val="26"/>
        </w:rPr>
        <w:t>Lo anterior</w:t>
      </w:r>
      <w:r w:rsidR="00211394" w:rsidRPr="00F715E7">
        <w:rPr>
          <w:sz w:val="26"/>
          <w:szCs w:val="26"/>
        </w:rPr>
        <w:t xml:space="preserve"> </w:t>
      </w:r>
      <w:r w:rsidRPr="00F715E7">
        <w:rPr>
          <w:sz w:val="26"/>
          <w:szCs w:val="26"/>
        </w:rPr>
        <w:t>vulneraba</w:t>
      </w:r>
      <w:r w:rsidR="00211394" w:rsidRPr="00F715E7">
        <w:rPr>
          <w:sz w:val="26"/>
          <w:szCs w:val="26"/>
          <w:lang w:val="es-MX"/>
        </w:rPr>
        <w:t xml:space="preserve"> lo dispuesto en los artículos 1 y 2, de la Constitución Política de los Estados Unidos Mexicanos, así como</w:t>
      </w:r>
      <w:r w:rsidR="0051091B">
        <w:rPr>
          <w:sz w:val="26"/>
          <w:szCs w:val="26"/>
          <w:lang w:val="es-MX"/>
        </w:rPr>
        <w:t xml:space="preserve"> los diversos</w:t>
      </w:r>
      <w:r w:rsidR="00211394" w:rsidRPr="00F715E7">
        <w:rPr>
          <w:sz w:val="26"/>
          <w:szCs w:val="26"/>
          <w:lang w:val="es-MX"/>
        </w:rPr>
        <w:t xml:space="preserve"> 6 y 7 del Convenio 169 de la Organización Internacional del Trabajo sobre Pueblos Indígenas y Tribales en Países Independientes, </w:t>
      </w:r>
      <w:r w:rsidR="00AE0571" w:rsidRPr="00F715E7">
        <w:rPr>
          <w:sz w:val="26"/>
          <w:szCs w:val="26"/>
          <w:lang w:val="es-MX"/>
        </w:rPr>
        <w:t xml:space="preserve">por lo que </w:t>
      </w:r>
      <w:r w:rsidR="00211394" w:rsidRPr="00F715E7">
        <w:rPr>
          <w:sz w:val="26"/>
          <w:szCs w:val="26"/>
          <w:lang w:val="es-MX"/>
        </w:rPr>
        <w:t>lo procedente e</w:t>
      </w:r>
      <w:r w:rsidR="00C24DF3" w:rsidRPr="00F715E7">
        <w:rPr>
          <w:sz w:val="26"/>
          <w:szCs w:val="26"/>
          <w:lang w:val="es-MX"/>
        </w:rPr>
        <w:t>ra</w:t>
      </w:r>
      <w:r w:rsidR="00211394" w:rsidRPr="00F715E7">
        <w:rPr>
          <w:sz w:val="26"/>
          <w:szCs w:val="26"/>
          <w:lang w:val="es-MX"/>
        </w:rPr>
        <w:t xml:space="preserve"> declarar la invalidez de dicho Decreto</w:t>
      </w:r>
      <w:r w:rsidR="00AE0571" w:rsidRPr="00F715E7">
        <w:rPr>
          <w:sz w:val="26"/>
          <w:szCs w:val="26"/>
          <w:lang w:val="es-MX"/>
        </w:rPr>
        <w:t xml:space="preserve"> impugnado</w:t>
      </w:r>
      <w:r w:rsidR="00211394" w:rsidRPr="00F715E7">
        <w:rPr>
          <w:sz w:val="26"/>
          <w:szCs w:val="26"/>
          <w:lang w:val="es-MX"/>
        </w:rPr>
        <w:t>.</w:t>
      </w:r>
    </w:p>
    <w:p w14:paraId="2A83961E" w14:textId="77777777" w:rsidR="00746C09" w:rsidRPr="00F715E7" w:rsidRDefault="00746C09" w:rsidP="0098787A">
      <w:pPr>
        <w:pStyle w:val="Estilo"/>
        <w:spacing w:line="259" w:lineRule="auto"/>
        <w:ind w:left="426" w:right="424"/>
        <w:rPr>
          <w:rFonts w:ascii="Arial" w:hAnsi="Arial" w:cs="Arial"/>
          <w:sz w:val="26"/>
          <w:szCs w:val="26"/>
        </w:rPr>
      </w:pPr>
    </w:p>
    <w:p w14:paraId="74DCF980" w14:textId="5D61D4EA" w:rsidR="00AE0571" w:rsidRPr="00F715E7" w:rsidRDefault="0091788F" w:rsidP="0098787A">
      <w:pPr>
        <w:pStyle w:val="Estilo1"/>
        <w:numPr>
          <w:ilvl w:val="0"/>
          <w:numId w:val="6"/>
        </w:numPr>
        <w:spacing w:before="0" w:after="0"/>
        <w:ind w:left="0"/>
        <w:rPr>
          <w:sz w:val="26"/>
          <w:szCs w:val="26"/>
        </w:rPr>
      </w:pPr>
      <w:r w:rsidRPr="00F715E7">
        <w:rPr>
          <w:sz w:val="26"/>
          <w:szCs w:val="26"/>
        </w:rPr>
        <w:t xml:space="preserve">Ahora bien, el </w:t>
      </w:r>
      <w:r w:rsidR="00102194" w:rsidRPr="00F715E7">
        <w:rPr>
          <w:sz w:val="26"/>
          <w:szCs w:val="26"/>
        </w:rPr>
        <w:t xml:space="preserve">decreto de reforma </w:t>
      </w:r>
      <w:r w:rsidR="00AE0571" w:rsidRPr="00F715E7">
        <w:rPr>
          <w:sz w:val="26"/>
          <w:szCs w:val="26"/>
        </w:rPr>
        <w:t>objeto de análisis en el presente caso,</w:t>
      </w:r>
      <w:r w:rsidR="00C136CB" w:rsidRPr="00F715E7">
        <w:rPr>
          <w:sz w:val="26"/>
          <w:szCs w:val="26"/>
        </w:rPr>
        <w:t xml:space="preserve"> </w:t>
      </w:r>
      <w:r w:rsidR="00102194" w:rsidRPr="00F715E7">
        <w:rPr>
          <w:sz w:val="26"/>
          <w:szCs w:val="26"/>
        </w:rPr>
        <w:t xml:space="preserve">se publicó en la Gaceta Oficial del Gobierno </w:t>
      </w:r>
      <w:r w:rsidR="00516891" w:rsidRPr="00F715E7">
        <w:rPr>
          <w:sz w:val="26"/>
          <w:szCs w:val="26"/>
        </w:rPr>
        <w:t>de Veracruz</w:t>
      </w:r>
      <w:r w:rsidR="00102194" w:rsidRPr="00F715E7">
        <w:rPr>
          <w:sz w:val="26"/>
          <w:szCs w:val="26"/>
        </w:rPr>
        <w:t xml:space="preserve"> el martes veintiocho de diciembre de dos mil veintiuno</w:t>
      </w:r>
      <w:r w:rsidR="00AE0571" w:rsidRPr="00F715E7">
        <w:rPr>
          <w:sz w:val="26"/>
          <w:szCs w:val="26"/>
        </w:rPr>
        <w:t xml:space="preserve">. Esto </w:t>
      </w:r>
      <w:r w:rsidR="00102194" w:rsidRPr="00F715E7">
        <w:rPr>
          <w:sz w:val="26"/>
          <w:szCs w:val="26"/>
        </w:rPr>
        <w:t>es</w:t>
      </w:r>
      <w:r w:rsidR="00AE0571" w:rsidRPr="00F715E7">
        <w:rPr>
          <w:sz w:val="26"/>
          <w:szCs w:val="26"/>
        </w:rPr>
        <w:t>,</w:t>
      </w:r>
      <w:r w:rsidR="00102194" w:rsidRPr="00F715E7">
        <w:rPr>
          <w:sz w:val="26"/>
          <w:szCs w:val="26"/>
        </w:rPr>
        <w:t xml:space="preserve"> dos </w:t>
      </w:r>
      <w:r w:rsidR="00102194" w:rsidRPr="00F715E7">
        <w:rPr>
          <w:sz w:val="26"/>
          <w:szCs w:val="26"/>
          <w:lang w:eastAsia="es-MX"/>
        </w:rPr>
        <w:t>días</w:t>
      </w:r>
      <w:r w:rsidR="00102194" w:rsidRPr="00F715E7">
        <w:rPr>
          <w:sz w:val="26"/>
          <w:szCs w:val="26"/>
        </w:rPr>
        <w:t xml:space="preserve"> antes de que se resolvieran en definitiva todos los medios de impugnación relacionados con el proceso electoral intermedio de dos mil veintiuno en esa entidad federativa, lo que ocurrió el jueves treinta de diciembre</w:t>
      </w:r>
      <w:r w:rsidR="00C136CB" w:rsidRPr="00F715E7">
        <w:rPr>
          <w:sz w:val="26"/>
          <w:szCs w:val="26"/>
        </w:rPr>
        <w:t xml:space="preserve"> de dicho año</w:t>
      </w:r>
      <w:r w:rsidR="00AE0571" w:rsidRPr="00F715E7">
        <w:rPr>
          <w:sz w:val="26"/>
          <w:szCs w:val="26"/>
        </w:rPr>
        <w:t>.</w:t>
      </w:r>
    </w:p>
    <w:p w14:paraId="49D75C00" w14:textId="77777777" w:rsidR="00AE0571" w:rsidRPr="00F715E7" w:rsidRDefault="00AE0571" w:rsidP="001E1EF8">
      <w:pPr>
        <w:pStyle w:val="Estilo1"/>
        <w:numPr>
          <w:ilvl w:val="0"/>
          <w:numId w:val="0"/>
        </w:numPr>
        <w:spacing w:before="0" w:after="0"/>
        <w:rPr>
          <w:sz w:val="26"/>
          <w:szCs w:val="26"/>
        </w:rPr>
      </w:pPr>
    </w:p>
    <w:p w14:paraId="3017A516" w14:textId="6A2484A4" w:rsidR="00746C09" w:rsidRPr="00F715E7" w:rsidRDefault="00AE0571" w:rsidP="0098787A">
      <w:pPr>
        <w:pStyle w:val="Estilo1"/>
        <w:numPr>
          <w:ilvl w:val="0"/>
          <w:numId w:val="6"/>
        </w:numPr>
        <w:spacing w:before="0" w:after="0"/>
        <w:ind w:left="0"/>
        <w:rPr>
          <w:b/>
          <w:sz w:val="26"/>
          <w:szCs w:val="26"/>
        </w:rPr>
      </w:pPr>
      <w:r w:rsidRPr="00F715E7">
        <w:rPr>
          <w:sz w:val="26"/>
          <w:szCs w:val="26"/>
        </w:rPr>
        <w:t xml:space="preserve">No obstante, el artículo Segundo Transitorio </w:t>
      </w:r>
      <w:r w:rsidR="00ED2957" w:rsidRPr="00F715E7">
        <w:rPr>
          <w:sz w:val="26"/>
          <w:szCs w:val="26"/>
        </w:rPr>
        <w:t xml:space="preserve">de la reforma </w:t>
      </w:r>
      <w:r w:rsidRPr="00F715E7">
        <w:rPr>
          <w:sz w:val="26"/>
          <w:szCs w:val="26"/>
        </w:rPr>
        <w:t xml:space="preserve">impugnada, </w:t>
      </w:r>
      <w:r w:rsidR="00ED2957" w:rsidRPr="00F715E7">
        <w:rPr>
          <w:sz w:val="26"/>
          <w:szCs w:val="26"/>
        </w:rPr>
        <w:t>prevé que el decreto entrar</w:t>
      </w:r>
      <w:r w:rsidRPr="00F715E7">
        <w:rPr>
          <w:sz w:val="26"/>
          <w:szCs w:val="26"/>
        </w:rPr>
        <w:t>á</w:t>
      </w:r>
      <w:r w:rsidR="00ED2957" w:rsidRPr="00F715E7">
        <w:rPr>
          <w:sz w:val="26"/>
          <w:szCs w:val="26"/>
        </w:rPr>
        <w:t xml:space="preserve"> en vigor el primero de enero de dos mil veintidós</w:t>
      </w:r>
      <w:r w:rsidR="00F75C5B" w:rsidRPr="00F715E7">
        <w:rPr>
          <w:sz w:val="26"/>
          <w:szCs w:val="26"/>
        </w:rPr>
        <w:t>.</w:t>
      </w:r>
      <w:r w:rsidR="00F75C5B" w:rsidRPr="00F715E7">
        <w:rPr>
          <w:rStyle w:val="Refdenotaalpie"/>
          <w:sz w:val="26"/>
          <w:szCs w:val="26"/>
        </w:rPr>
        <w:footnoteReference w:id="41"/>
      </w:r>
    </w:p>
    <w:p w14:paraId="1624F737" w14:textId="77777777" w:rsidR="00746C09" w:rsidRPr="00F715E7" w:rsidRDefault="00746C09" w:rsidP="0098787A">
      <w:pPr>
        <w:pStyle w:val="Prrafodelista"/>
        <w:spacing w:before="0" w:after="0"/>
        <w:rPr>
          <w:b/>
          <w:sz w:val="26"/>
          <w:szCs w:val="26"/>
        </w:rPr>
      </w:pPr>
    </w:p>
    <w:p w14:paraId="72F2BF6B" w14:textId="2FB31C26" w:rsidR="00017E10" w:rsidRPr="00F715E7" w:rsidRDefault="00017E10" w:rsidP="0098787A">
      <w:pPr>
        <w:pStyle w:val="Estilo"/>
        <w:ind w:left="709" w:right="476"/>
        <w:rPr>
          <w:rFonts w:ascii="Arial" w:hAnsi="Arial" w:cs="Arial"/>
        </w:rPr>
      </w:pPr>
      <w:r w:rsidRPr="00F715E7">
        <w:rPr>
          <w:rFonts w:ascii="Arial" w:hAnsi="Arial" w:cs="Arial"/>
          <w:b/>
          <w:bCs/>
        </w:rPr>
        <w:t>SEGUNDO</w:t>
      </w:r>
      <w:r w:rsidRPr="00F715E7">
        <w:rPr>
          <w:rFonts w:ascii="Arial" w:hAnsi="Arial" w:cs="Arial"/>
        </w:rPr>
        <w:t xml:space="preserve">. El presente Decreto </w:t>
      </w:r>
      <w:r w:rsidRPr="00F715E7">
        <w:rPr>
          <w:rFonts w:ascii="Arial" w:hAnsi="Arial" w:cs="Arial"/>
          <w:b/>
          <w:bCs/>
        </w:rPr>
        <w:t>entrará en vigor el día 1° de enero del año 2022,</w:t>
      </w:r>
      <w:r w:rsidRPr="00F715E7">
        <w:rPr>
          <w:rFonts w:ascii="Arial" w:hAnsi="Arial" w:cs="Arial"/>
        </w:rPr>
        <w:t xml:space="preserve"> salvo en lo previsto en el Artículo Tercero Transitorio siguiente, que iniciará su vigencia el día de la publicación de este Decreto en la Gaceta Oficial, </w:t>
      </w:r>
      <w:r w:rsidRPr="00F715E7">
        <w:rPr>
          <w:rFonts w:ascii="Arial" w:hAnsi="Arial" w:cs="Arial"/>
        </w:rPr>
        <w:lastRenderedPageBreak/>
        <w:t>Órgano del Gobierno del Estado de Veracruz de Ignacio de la Llave.</w:t>
      </w:r>
      <w:r w:rsidR="00AE0571" w:rsidRPr="00F715E7">
        <w:rPr>
          <w:rFonts w:ascii="Arial" w:hAnsi="Arial" w:cs="Arial"/>
        </w:rPr>
        <w:t xml:space="preserve"> </w:t>
      </w:r>
      <w:r w:rsidR="00AE0571" w:rsidRPr="00F715E7">
        <w:rPr>
          <w:rFonts w:ascii="Arial" w:hAnsi="Arial" w:cs="Arial"/>
          <w:b/>
          <w:bCs/>
        </w:rPr>
        <w:t>(Énfasis añadido)</w:t>
      </w:r>
    </w:p>
    <w:p w14:paraId="1C7FE032" w14:textId="77777777" w:rsidR="00746C09" w:rsidRPr="00F715E7" w:rsidRDefault="00746C09" w:rsidP="0098787A">
      <w:pPr>
        <w:spacing w:before="0" w:after="0"/>
        <w:rPr>
          <w:sz w:val="26"/>
          <w:szCs w:val="26"/>
        </w:rPr>
      </w:pPr>
    </w:p>
    <w:p w14:paraId="418E583F" w14:textId="214D737D" w:rsidR="004E3847" w:rsidRPr="00F715E7" w:rsidRDefault="00AE0571" w:rsidP="0098787A">
      <w:pPr>
        <w:pStyle w:val="Estilo1"/>
        <w:numPr>
          <w:ilvl w:val="0"/>
          <w:numId w:val="6"/>
        </w:numPr>
        <w:spacing w:before="0" w:after="0"/>
        <w:ind w:left="0"/>
        <w:rPr>
          <w:b/>
          <w:sz w:val="26"/>
          <w:szCs w:val="26"/>
        </w:rPr>
      </w:pPr>
      <w:r w:rsidRPr="00F715E7">
        <w:rPr>
          <w:sz w:val="26"/>
          <w:szCs w:val="26"/>
        </w:rPr>
        <w:t>Como se puede observar</w:t>
      </w:r>
      <w:r w:rsidR="00042066" w:rsidRPr="00F715E7">
        <w:rPr>
          <w:sz w:val="26"/>
          <w:szCs w:val="26"/>
        </w:rPr>
        <w:t>,</w:t>
      </w:r>
      <w:r w:rsidRPr="00F715E7">
        <w:rPr>
          <w:sz w:val="26"/>
          <w:szCs w:val="26"/>
        </w:rPr>
        <w:t xml:space="preserve"> </w:t>
      </w:r>
      <w:r w:rsidR="0091788F" w:rsidRPr="00F715E7">
        <w:rPr>
          <w:sz w:val="26"/>
          <w:szCs w:val="26"/>
        </w:rPr>
        <w:t xml:space="preserve">efectivamente se reformó la ley local </w:t>
      </w:r>
      <w:r w:rsidR="004E3847" w:rsidRPr="00F715E7">
        <w:rPr>
          <w:sz w:val="26"/>
          <w:szCs w:val="26"/>
        </w:rPr>
        <w:t xml:space="preserve">unos días antes de que concluyera </w:t>
      </w:r>
      <w:r w:rsidR="0091788F" w:rsidRPr="00F715E7">
        <w:rPr>
          <w:sz w:val="26"/>
          <w:szCs w:val="26"/>
        </w:rPr>
        <w:t>el proceso electoral ordinario</w:t>
      </w:r>
      <w:r w:rsidR="004E3847" w:rsidRPr="00F715E7">
        <w:rPr>
          <w:sz w:val="26"/>
          <w:szCs w:val="26"/>
        </w:rPr>
        <w:t xml:space="preserve">; sin embargo, </w:t>
      </w:r>
      <w:r w:rsidR="0091788F" w:rsidRPr="00F715E7">
        <w:rPr>
          <w:sz w:val="26"/>
          <w:szCs w:val="26"/>
        </w:rPr>
        <w:t>dichas reformas no son aplicables a aquél</w:t>
      </w:r>
      <w:r w:rsidR="004E3847" w:rsidRPr="00F715E7">
        <w:rPr>
          <w:sz w:val="26"/>
          <w:szCs w:val="26"/>
        </w:rPr>
        <w:t>,</w:t>
      </w:r>
      <w:r w:rsidR="0091788F" w:rsidRPr="00F715E7">
        <w:rPr>
          <w:sz w:val="26"/>
          <w:szCs w:val="26"/>
        </w:rPr>
        <w:t xml:space="preserve"> por la fecha en que entraron en vigor. </w:t>
      </w:r>
    </w:p>
    <w:p w14:paraId="79014ADA" w14:textId="77777777" w:rsidR="004E3847" w:rsidRPr="00F715E7" w:rsidRDefault="004E3847" w:rsidP="004E3847">
      <w:pPr>
        <w:pStyle w:val="Estilo1"/>
        <w:numPr>
          <w:ilvl w:val="0"/>
          <w:numId w:val="0"/>
        </w:numPr>
        <w:spacing w:before="0" w:after="0"/>
        <w:rPr>
          <w:b/>
          <w:sz w:val="26"/>
          <w:szCs w:val="26"/>
        </w:rPr>
      </w:pPr>
    </w:p>
    <w:p w14:paraId="1518F95C" w14:textId="467EE3C5" w:rsidR="00746C09" w:rsidRPr="00F715E7" w:rsidRDefault="004E3847" w:rsidP="0098787A">
      <w:pPr>
        <w:pStyle w:val="Estilo1"/>
        <w:numPr>
          <w:ilvl w:val="0"/>
          <w:numId w:val="6"/>
        </w:numPr>
        <w:spacing w:before="0" w:after="0"/>
        <w:ind w:left="0"/>
        <w:rPr>
          <w:b/>
          <w:sz w:val="26"/>
          <w:szCs w:val="26"/>
        </w:rPr>
      </w:pPr>
      <w:r w:rsidRPr="00F715E7">
        <w:rPr>
          <w:sz w:val="26"/>
          <w:szCs w:val="26"/>
        </w:rPr>
        <w:t xml:space="preserve">El </w:t>
      </w:r>
      <w:r w:rsidR="00746C09" w:rsidRPr="00F715E7">
        <w:rPr>
          <w:sz w:val="26"/>
          <w:szCs w:val="26"/>
        </w:rPr>
        <w:t xml:space="preserve">precepto en cuestión al señalar que el decreto impugnado entrará en vigor </w:t>
      </w:r>
      <w:r w:rsidR="00605BAE" w:rsidRPr="00F715E7">
        <w:rPr>
          <w:sz w:val="26"/>
          <w:szCs w:val="26"/>
        </w:rPr>
        <w:t xml:space="preserve">el primero de enero de dos mil veintidós, esto es, después de que se </w:t>
      </w:r>
      <w:r w:rsidR="00516202" w:rsidRPr="00F715E7">
        <w:rPr>
          <w:sz w:val="26"/>
          <w:szCs w:val="26"/>
        </w:rPr>
        <w:t>resolvieron</w:t>
      </w:r>
      <w:r w:rsidR="00605BAE" w:rsidRPr="00F715E7">
        <w:rPr>
          <w:sz w:val="26"/>
          <w:szCs w:val="26"/>
        </w:rPr>
        <w:t xml:space="preserve"> los medios de impugnación </w:t>
      </w:r>
      <w:r w:rsidR="00257D32" w:rsidRPr="00F715E7">
        <w:rPr>
          <w:sz w:val="26"/>
          <w:szCs w:val="26"/>
        </w:rPr>
        <w:t>correspondientes</w:t>
      </w:r>
      <w:r w:rsidR="00746C09" w:rsidRPr="00F715E7">
        <w:rPr>
          <w:sz w:val="26"/>
          <w:szCs w:val="26"/>
        </w:rPr>
        <w:t xml:space="preserve">, </w:t>
      </w:r>
      <w:r w:rsidR="00746C09" w:rsidRPr="00F715E7">
        <w:rPr>
          <w:b/>
          <w:sz w:val="26"/>
          <w:szCs w:val="26"/>
        </w:rPr>
        <w:t>representa una salvaguarda legislativa</w:t>
      </w:r>
      <w:r w:rsidR="00746C09" w:rsidRPr="00F715E7">
        <w:rPr>
          <w:bCs/>
          <w:sz w:val="26"/>
          <w:szCs w:val="26"/>
        </w:rPr>
        <w:t xml:space="preserve"> implementada por el Congreso de</w:t>
      </w:r>
      <w:r w:rsidR="0051091B">
        <w:rPr>
          <w:bCs/>
          <w:sz w:val="26"/>
          <w:szCs w:val="26"/>
        </w:rPr>
        <w:t>l Estado de</w:t>
      </w:r>
      <w:r w:rsidR="00746C09" w:rsidRPr="00F715E7">
        <w:rPr>
          <w:bCs/>
          <w:sz w:val="26"/>
          <w:szCs w:val="26"/>
        </w:rPr>
        <w:t xml:space="preserve"> </w:t>
      </w:r>
      <w:r w:rsidR="00257D32" w:rsidRPr="00F715E7">
        <w:rPr>
          <w:bCs/>
          <w:sz w:val="26"/>
          <w:szCs w:val="26"/>
        </w:rPr>
        <w:t xml:space="preserve">Veracruz </w:t>
      </w:r>
      <w:r w:rsidR="00746C09" w:rsidRPr="00F715E7">
        <w:rPr>
          <w:bCs/>
          <w:sz w:val="26"/>
          <w:szCs w:val="26"/>
        </w:rPr>
        <w:t xml:space="preserve">que expresa la voluntad del legislador de dotar de efectos futuros a la reforma. Por lo anterior, resulta claro que el régimen transitorio fue cuidadoso en condicionar la entrada en vigor de la reforma a la culminación del proceso electoral </w:t>
      </w:r>
      <w:r w:rsidR="003D0E78" w:rsidRPr="00F715E7">
        <w:rPr>
          <w:bCs/>
          <w:sz w:val="26"/>
          <w:szCs w:val="26"/>
        </w:rPr>
        <w:t xml:space="preserve">que estaba </w:t>
      </w:r>
      <w:r w:rsidR="00746C09" w:rsidRPr="00F715E7">
        <w:rPr>
          <w:bCs/>
          <w:sz w:val="26"/>
          <w:szCs w:val="26"/>
        </w:rPr>
        <w:t>en curso</w:t>
      </w:r>
      <w:r w:rsidR="003D0E78" w:rsidRPr="00F715E7">
        <w:rPr>
          <w:bCs/>
          <w:sz w:val="26"/>
          <w:szCs w:val="26"/>
        </w:rPr>
        <w:t>;</w:t>
      </w:r>
      <w:r w:rsidR="00C80D35" w:rsidRPr="00F715E7">
        <w:rPr>
          <w:rStyle w:val="Refdenotaalpie"/>
          <w:bCs/>
          <w:sz w:val="26"/>
          <w:szCs w:val="26"/>
        </w:rPr>
        <w:t xml:space="preserve"> </w:t>
      </w:r>
      <w:r w:rsidR="00C80D35" w:rsidRPr="00F715E7">
        <w:rPr>
          <w:rStyle w:val="Refdenotaalpie"/>
          <w:bCs/>
          <w:sz w:val="26"/>
          <w:szCs w:val="26"/>
        </w:rPr>
        <w:footnoteReference w:id="42"/>
      </w:r>
      <w:r w:rsidR="003D0E78" w:rsidRPr="00F715E7">
        <w:rPr>
          <w:bCs/>
          <w:sz w:val="26"/>
          <w:szCs w:val="26"/>
        </w:rPr>
        <w:t xml:space="preserve"> en ese sentido, no puede decirse que con la emisión de la norma se haya vulnerado</w:t>
      </w:r>
      <w:r w:rsidR="008D4ADD" w:rsidRPr="00F715E7">
        <w:rPr>
          <w:bCs/>
          <w:sz w:val="26"/>
          <w:szCs w:val="26"/>
        </w:rPr>
        <w:t xml:space="preserve"> la veda electoral, ya que ésta tiene por objeto prevenir que no se modifiquen las reglas establecidas, garantizando con ello el principio de certeza</w:t>
      </w:r>
      <w:r w:rsidR="00C80D35" w:rsidRPr="00F715E7">
        <w:rPr>
          <w:bCs/>
          <w:sz w:val="26"/>
          <w:szCs w:val="26"/>
        </w:rPr>
        <w:t xml:space="preserve">; </w:t>
      </w:r>
      <w:r w:rsidR="00704AA0" w:rsidRPr="00F715E7">
        <w:rPr>
          <w:bCs/>
          <w:sz w:val="26"/>
          <w:szCs w:val="26"/>
        </w:rPr>
        <w:t>el cual</w:t>
      </w:r>
      <w:r w:rsidR="00C80D35" w:rsidRPr="00F715E7">
        <w:rPr>
          <w:bCs/>
          <w:sz w:val="26"/>
          <w:szCs w:val="26"/>
        </w:rPr>
        <w:t xml:space="preserve"> en el caso no se vio vulnerado</w:t>
      </w:r>
      <w:r w:rsidR="00746C09" w:rsidRPr="00F715E7">
        <w:rPr>
          <w:sz w:val="26"/>
          <w:szCs w:val="26"/>
        </w:rPr>
        <w:t>.</w:t>
      </w:r>
    </w:p>
    <w:p w14:paraId="75413363" w14:textId="77777777" w:rsidR="00746C09" w:rsidRPr="00F715E7" w:rsidRDefault="00746C09" w:rsidP="0098787A">
      <w:pPr>
        <w:pStyle w:val="corte4fondo"/>
        <w:tabs>
          <w:tab w:val="left" w:pos="567"/>
        </w:tabs>
        <w:ind w:left="-57" w:firstLine="0"/>
        <w:rPr>
          <w:rFonts w:cs="Arial"/>
          <w:b/>
          <w:sz w:val="26"/>
          <w:szCs w:val="26"/>
        </w:rPr>
      </w:pPr>
    </w:p>
    <w:p w14:paraId="6BAA0910" w14:textId="50405D63" w:rsidR="00004CD0" w:rsidRPr="00F715E7" w:rsidRDefault="00A25640" w:rsidP="00004CD0">
      <w:pPr>
        <w:pStyle w:val="Estilo1"/>
        <w:numPr>
          <w:ilvl w:val="0"/>
          <w:numId w:val="6"/>
        </w:numPr>
        <w:tabs>
          <w:tab w:val="left" w:pos="567"/>
        </w:tabs>
        <w:spacing w:before="0" w:after="0"/>
        <w:ind w:left="-57"/>
        <w:rPr>
          <w:b/>
          <w:sz w:val="26"/>
          <w:szCs w:val="26"/>
        </w:rPr>
      </w:pPr>
      <w:r w:rsidRPr="00F715E7">
        <w:rPr>
          <w:bCs/>
          <w:sz w:val="26"/>
          <w:szCs w:val="26"/>
        </w:rPr>
        <w:t xml:space="preserve">En otro aspecto, resulta también </w:t>
      </w:r>
      <w:r w:rsidRPr="00F715E7">
        <w:rPr>
          <w:b/>
          <w:sz w:val="26"/>
          <w:szCs w:val="26"/>
        </w:rPr>
        <w:t>infundado</w:t>
      </w:r>
      <w:r w:rsidRPr="00F715E7">
        <w:rPr>
          <w:bCs/>
          <w:sz w:val="26"/>
          <w:szCs w:val="26"/>
        </w:rPr>
        <w:t xml:space="preserve"> e</w:t>
      </w:r>
      <w:r w:rsidR="001E30FE" w:rsidRPr="00F715E7">
        <w:rPr>
          <w:bCs/>
          <w:sz w:val="26"/>
          <w:szCs w:val="26"/>
        </w:rPr>
        <w:t xml:space="preserve">l argumento </w:t>
      </w:r>
      <w:r w:rsidR="00FA7B12" w:rsidRPr="00F715E7">
        <w:rPr>
          <w:bCs/>
          <w:sz w:val="26"/>
          <w:szCs w:val="26"/>
        </w:rPr>
        <w:t xml:space="preserve">que señala que </w:t>
      </w:r>
      <w:r w:rsidR="00D74C5F" w:rsidRPr="00F715E7">
        <w:rPr>
          <w:bCs/>
          <w:sz w:val="26"/>
          <w:szCs w:val="26"/>
        </w:rPr>
        <w:t xml:space="preserve">no podía el legislador tener actuación alguna hasta en tanto no terminaran las elecciones extraordinarias de los Municipios </w:t>
      </w:r>
      <w:r w:rsidRPr="00F715E7">
        <w:rPr>
          <w:bCs/>
          <w:sz w:val="26"/>
          <w:szCs w:val="26"/>
        </w:rPr>
        <w:t>señalados</w:t>
      </w:r>
      <w:r w:rsidR="00A7539E" w:rsidRPr="00F715E7">
        <w:rPr>
          <w:bCs/>
          <w:sz w:val="26"/>
          <w:szCs w:val="26"/>
        </w:rPr>
        <w:t xml:space="preserve"> porque las mismas son una continuación del proceso </w:t>
      </w:r>
      <w:r w:rsidR="004F1A42" w:rsidRPr="00F715E7">
        <w:rPr>
          <w:bCs/>
          <w:sz w:val="26"/>
          <w:szCs w:val="26"/>
        </w:rPr>
        <w:t>ordinario;</w:t>
      </w:r>
      <w:r w:rsidRPr="00F715E7">
        <w:rPr>
          <w:bCs/>
          <w:sz w:val="26"/>
          <w:szCs w:val="26"/>
        </w:rPr>
        <w:t xml:space="preserve"> </w:t>
      </w:r>
      <w:r w:rsidR="00FA7B12" w:rsidRPr="00F715E7">
        <w:rPr>
          <w:bCs/>
          <w:sz w:val="26"/>
          <w:szCs w:val="26"/>
        </w:rPr>
        <w:t>pues lo cierto es</w:t>
      </w:r>
      <w:r w:rsidR="00004CD0" w:rsidRPr="00F715E7">
        <w:rPr>
          <w:bCs/>
          <w:sz w:val="26"/>
          <w:szCs w:val="26"/>
        </w:rPr>
        <w:t xml:space="preserve"> que </w:t>
      </w:r>
      <w:r w:rsidR="004F1A42" w:rsidRPr="00F715E7">
        <w:rPr>
          <w:bCs/>
          <w:sz w:val="26"/>
          <w:szCs w:val="26"/>
        </w:rPr>
        <w:t>éste</w:t>
      </w:r>
      <w:r w:rsidR="00004CD0" w:rsidRPr="00F715E7">
        <w:rPr>
          <w:bCs/>
          <w:sz w:val="26"/>
          <w:szCs w:val="26"/>
        </w:rPr>
        <w:t xml:space="preserve"> concluyó y </w:t>
      </w:r>
      <w:r w:rsidR="008E55DB" w:rsidRPr="00F715E7">
        <w:rPr>
          <w:bCs/>
          <w:sz w:val="26"/>
          <w:szCs w:val="26"/>
        </w:rPr>
        <w:t xml:space="preserve">las elecciones extraordinarias no son una continuación del </w:t>
      </w:r>
      <w:r w:rsidR="00004CD0" w:rsidRPr="00F715E7">
        <w:rPr>
          <w:bCs/>
          <w:sz w:val="26"/>
          <w:szCs w:val="26"/>
        </w:rPr>
        <w:t>mismo</w:t>
      </w:r>
      <w:r w:rsidR="000E5381" w:rsidRPr="00F715E7">
        <w:rPr>
          <w:bCs/>
          <w:sz w:val="26"/>
          <w:szCs w:val="26"/>
        </w:rPr>
        <w:t xml:space="preserve">, sino una </w:t>
      </w:r>
      <w:r w:rsidR="008E55DB" w:rsidRPr="00F715E7">
        <w:rPr>
          <w:bCs/>
          <w:sz w:val="26"/>
          <w:szCs w:val="26"/>
        </w:rPr>
        <w:t xml:space="preserve">consecuencia de la declaratoria de invalidez de elecciones que se </w:t>
      </w:r>
      <w:r w:rsidR="008E55DB" w:rsidRPr="00F715E7">
        <w:rPr>
          <w:bCs/>
          <w:sz w:val="26"/>
          <w:szCs w:val="26"/>
        </w:rPr>
        <w:lastRenderedPageBreak/>
        <w:t>llevaron a cabo en el marco del proceso ordinario</w:t>
      </w:r>
      <w:r w:rsidR="007D0DF2" w:rsidRPr="00F715E7">
        <w:rPr>
          <w:bCs/>
          <w:sz w:val="26"/>
          <w:szCs w:val="26"/>
        </w:rPr>
        <w:t>, las cuales deben seguir sus mismas reglas</w:t>
      </w:r>
      <w:r w:rsidR="008E55DB" w:rsidRPr="00F715E7">
        <w:rPr>
          <w:bCs/>
          <w:sz w:val="26"/>
          <w:szCs w:val="26"/>
        </w:rPr>
        <w:t>.</w:t>
      </w:r>
      <w:r w:rsidRPr="00F715E7">
        <w:rPr>
          <w:bCs/>
          <w:sz w:val="26"/>
          <w:szCs w:val="26"/>
        </w:rPr>
        <w:t xml:space="preserve"> </w:t>
      </w:r>
    </w:p>
    <w:p w14:paraId="752A919C" w14:textId="77777777" w:rsidR="00004CD0" w:rsidRPr="00F715E7" w:rsidRDefault="00004CD0" w:rsidP="00004CD0">
      <w:pPr>
        <w:pStyle w:val="Prrafodelista"/>
        <w:spacing w:before="0" w:after="0" w:line="360" w:lineRule="auto"/>
        <w:rPr>
          <w:bCs/>
          <w:sz w:val="26"/>
          <w:szCs w:val="26"/>
        </w:rPr>
      </w:pPr>
    </w:p>
    <w:p w14:paraId="249E432B" w14:textId="7B2D0D75" w:rsidR="00746C09" w:rsidRPr="00F715E7" w:rsidRDefault="00004CD0" w:rsidP="00004CD0">
      <w:pPr>
        <w:pStyle w:val="Estilo1"/>
        <w:numPr>
          <w:ilvl w:val="0"/>
          <w:numId w:val="6"/>
        </w:numPr>
        <w:tabs>
          <w:tab w:val="left" w:pos="567"/>
        </w:tabs>
        <w:spacing w:before="0" w:after="0"/>
        <w:ind w:left="-57"/>
        <w:rPr>
          <w:b/>
          <w:sz w:val="26"/>
          <w:szCs w:val="26"/>
        </w:rPr>
      </w:pPr>
      <w:r w:rsidRPr="00F715E7">
        <w:rPr>
          <w:bCs/>
          <w:sz w:val="26"/>
          <w:szCs w:val="26"/>
        </w:rPr>
        <w:t xml:space="preserve">Al respecto, debe decirse que existe </w:t>
      </w:r>
      <w:r w:rsidR="00746C09" w:rsidRPr="00F715E7">
        <w:rPr>
          <w:bCs/>
          <w:sz w:val="26"/>
          <w:szCs w:val="26"/>
        </w:rPr>
        <w:t xml:space="preserve">una correspondencia entre el mencionado artículo </w:t>
      </w:r>
      <w:r w:rsidR="00636764" w:rsidRPr="00F715E7">
        <w:rPr>
          <w:bCs/>
          <w:sz w:val="26"/>
          <w:szCs w:val="26"/>
        </w:rPr>
        <w:t>segundo</w:t>
      </w:r>
      <w:r w:rsidR="00746C09" w:rsidRPr="00F715E7">
        <w:rPr>
          <w:bCs/>
          <w:sz w:val="26"/>
          <w:szCs w:val="26"/>
        </w:rPr>
        <w:t xml:space="preserve"> transitorio </w:t>
      </w:r>
      <w:r w:rsidR="0042080B" w:rsidRPr="00F715E7">
        <w:rPr>
          <w:bCs/>
          <w:sz w:val="26"/>
          <w:szCs w:val="26"/>
        </w:rPr>
        <w:t xml:space="preserve">y </w:t>
      </w:r>
      <w:r w:rsidR="00325033" w:rsidRPr="00F715E7">
        <w:rPr>
          <w:bCs/>
          <w:sz w:val="26"/>
          <w:szCs w:val="26"/>
        </w:rPr>
        <w:t>los</w:t>
      </w:r>
      <w:r w:rsidR="0042080B" w:rsidRPr="00F715E7">
        <w:rPr>
          <w:bCs/>
          <w:sz w:val="26"/>
          <w:szCs w:val="26"/>
        </w:rPr>
        <w:t xml:space="preserve"> </w:t>
      </w:r>
      <w:r w:rsidR="00FA7F7D" w:rsidRPr="00F715E7">
        <w:rPr>
          <w:bCs/>
          <w:sz w:val="26"/>
          <w:szCs w:val="26"/>
        </w:rPr>
        <w:t>diverso</w:t>
      </w:r>
      <w:r w:rsidR="00325033" w:rsidRPr="00F715E7">
        <w:rPr>
          <w:bCs/>
          <w:sz w:val="26"/>
          <w:szCs w:val="26"/>
        </w:rPr>
        <w:t>s</w:t>
      </w:r>
      <w:r w:rsidR="00FA7F7D" w:rsidRPr="00F715E7">
        <w:rPr>
          <w:bCs/>
          <w:sz w:val="26"/>
          <w:szCs w:val="26"/>
        </w:rPr>
        <w:t xml:space="preserve"> 169 </w:t>
      </w:r>
      <w:r w:rsidR="00325033" w:rsidRPr="00F715E7">
        <w:rPr>
          <w:bCs/>
          <w:sz w:val="26"/>
          <w:szCs w:val="26"/>
        </w:rPr>
        <w:t>y 17</w:t>
      </w:r>
      <w:r w:rsidR="005D3EC2" w:rsidRPr="00F715E7">
        <w:rPr>
          <w:bCs/>
          <w:sz w:val="26"/>
          <w:szCs w:val="26"/>
        </w:rPr>
        <w:t>2</w:t>
      </w:r>
      <w:r w:rsidR="00325033" w:rsidRPr="00F715E7">
        <w:rPr>
          <w:bCs/>
          <w:sz w:val="26"/>
          <w:szCs w:val="26"/>
        </w:rPr>
        <w:t xml:space="preserve"> </w:t>
      </w:r>
      <w:r w:rsidR="00FA7F7D" w:rsidRPr="00F715E7">
        <w:rPr>
          <w:bCs/>
          <w:sz w:val="26"/>
          <w:szCs w:val="26"/>
        </w:rPr>
        <w:t xml:space="preserve">del Código Electoral del Estado de Veracruz, </w:t>
      </w:r>
      <w:r w:rsidR="00325033" w:rsidRPr="00F715E7">
        <w:rPr>
          <w:bCs/>
          <w:sz w:val="26"/>
          <w:szCs w:val="26"/>
        </w:rPr>
        <w:t>los</w:t>
      </w:r>
      <w:r w:rsidR="00746C09" w:rsidRPr="00F715E7">
        <w:rPr>
          <w:bCs/>
          <w:sz w:val="26"/>
          <w:szCs w:val="26"/>
        </w:rPr>
        <w:t xml:space="preserve"> cual</w:t>
      </w:r>
      <w:r w:rsidR="00325033" w:rsidRPr="00F715E7">
        <w:rPr>
          <w:bCs/>
          <w:sz w:val="26"/>
          <w:szCs w:val="26"/>
        </w:rPr>
        <w:t>es</w:t>
      </w:r>
      <w:r w:rsidR="00746C09" w:rsidRPr="00F715E7">
        <w:rPr>
          <w:bCs/>
          <w:sz w:val="26"/>
          <w:szCs w:val="26"/>
        </w:rPr>
        <w:t xml:space="preserve"> prevé</w:t>
      </w:r>
      <w:r w:rsidR="00325033" w:rsidRPr="00F715E7">
        <w:rPr>
          <w:bCs/>
          <w:sz w:val="26"/>
          <w:szCs w:val="26"/>
        </w:rPr>
        <w:t>n</w:t>
      </w:r>
      <w:r w:rsidR="00746C09" w:rsidRPr="00F715E7">
        <w:rPr>
          <w:bCs/>
          <w:sz w:val="26"/>
          <w:szCs w:val="26"/>
        </w:rPr>
        <w:t xml:space="preserve"> lo siguiente</w:t>
      </w:r>
      <w:r w:rsidR="00AE0571" w:rsidRPr="00F715E7">
        <w:rPr>
          <w:bCs/>
          <w:sz w:val="26"/>
          <w:szCs w:val="26"/>
        </w:rPr>
        <w:t>.</w:t>
      </w:r>
    </w:p>
    <w:p w14:paraId="4798B1D6" w14:textId="77777777" w:rsidR="00AE0571" w:rsidRPr="00F715E7" w:rsidRDefault="00AE0571" w:rsidP="0098787A">
      <w:pPr>
        <w:pStyle w:val="Prrafodelista"/>
        <w:spacing w:before="0" w:after="0" w:line="240" w:lineRule="auto"/>
        <w:rPr>
          <w:b/>
          <w:bCs/>
        </w:rPr>
      </w:pPr>
    </w:p>
    <w:p w14:paraId="61DFAA2E" w14:textId="69710BA5" w:rsidR="006F5978" w:rsidRPr="00F715E7" w:rsidRDefault="00A72CDF" w:rsidP="0098787A">
      <w:pPr>
        <w:pStyle w:val="Prrafodelista"/>
        <w:spacing w:before="0" w:after="0" w:line="240" w:lineRule="auto"/>
        <w:rPr>
          <w:sz w:val="22"/>
          <w:szCs w:val="24"/>
        </w:rPr>
      </w:pPr>
      <w:r w:rsidRPr="00F715E7">
        <w:rPr>
          <w:b/>
          <w:bCs/>
          <w:sz w:val="22"/>
          <w:szCs w:val="24"/>
        </w:rPr>
        <w:t>Artículo 169</w:t>
      </w:r>
      <w:r w:rsidRPr="00F715E7">
        <w:rPr>
          <w:sz w:val="22"/>
          <w:szCs w:val="24"/>
        </w:rPr>
        <w:t>. El proceso electoral es el conjunto de actos ordenados por la Constitución Política del Estado, las leyes generales de la materia y este Código, que realizan las autoridades electorales, las organizaciones políticas y los ciudadanos, tendentes a renovar periódicamente a los integrantes de los Poderes Ejecutivo y Legislativo, así como a los miembros de los ayuntamientos del Estado.</w:t>
      </w:r>
    </w:p>
    <w:p w14:paraId="39FAE382" w14:textId="77777777" w:rsidR="00AE0571" w:rsidRPr="00F715E7" w:rsidRDefault="00AE0571" w:rsidP="0098787A">
      <w:pPr>
        <w:pStyle w:val="Prrafodelista"/>
        <w:spacing w:before="0" w:after="0" w:line="240" w:lineRule="auto"/>
        <w:rPr>
          <w:sz w:val="22"/>
          <w:szCs w:val="24"/>
        </w:rPr>
      </w:pPr>
    </w:p>
    <w:p w14:paraId="309A5C22" w14:textId="448E8F6F" w:rsidR="006F5978" w:rsidRPr="00F715E7" w:rsidRDefault="00A72CDF" w:rsidP="0098787A">
      <w:pPr>
        <w:pStyle w:val="Prrafodelista"/>
        <w:spacing w:before="0" w:after="0"/>
        <w:rPr>
          <w:sz w:val="22"/>
          <w:szCs w:val="24"/>
        </w:rPr>
      </w:pPr>
      <w:r w:rsidRPr="00F715E7">
        <w:rPr>
          <w:sz w:val="22"/>
          <w:szCs w:val="24"/>
        </w:rPr>
        <w:t xml:space="preserve">El proceso electoral ordinario iniciará con la primera sesión que el Consejo General del Instituto Electoral Veracruzano, celebre en los primeros diez días del mes de noviembre del año previo al de la elección y concluirá: el último día del mes de julio para la elección de diputados; el último día de agosto si se trata de la elección de Gobernador y el quince de septiembre para la elección de ayuntamientos o, en su caso, hasta en tanto el órgano jurisdiccional competente emita las sentencias definitivas respecto de los medios de impugnación pendientes de resolución. </w:t>
      </w:r>
    </w:p>
    <w:p w14:paraId="2C216054" w14:textId="77777777" w:rsidR="00AE0571" w:rsidRPr="00F715E7" w:rsidRDefault="00AE0571" w:rsidP="001E1EF8">
      <w:pPr>
        <w:pStyle w:val="Prrafodelista"/>
        <w:spacing w:before="0" w:after="0"/>
        <w:rPr>
          <w:sz w:val="22"/>
          <w:szCs w:val="24"/>
        </w:rPr>
      </w:pPr>
    </w:p>
    <w:p w14:paraId="6AF548D9" w14:textId="77777777" w:rsidR="00325033" w:rsidRPr="00F715E7" w:rsidRDefault="00A72CDF" w:rsidP="001E1EF8">
      <w:pPr>
        <w:pStyle w:val="Prrafodelista"/>
        <w:spacing w:before="0" w:after="0"/>
        <w:rPr>
          <w:sz w:val="22"/>
          <w:szCs w:val="24"/>
        </w:rPr>
      </w:pPr>
      <w:r w:rsidRPr="00F715E7">
        <w:rPr>
          <w:sz w:val="22"/>
          <w:szCs w:val="24"/>
        </w:rPr>
        <w:t xml:space="preserve">El proceso electoral ordinario comprende las etapas siguientes: </w:t>
      </w:r>
    </w:p>
    <w:p w14:paraId="00FCB318" w14:textId="796F5D9B" w:rsidR="00325033" w:rsidRPr="00F715E7" w:rsidRDefault="00A72CDF" w:rsidP="001E1EF8">
      <w:pPr>
        <w:pStyle w:val="Prrafodelista"/>
        <w:numPr>
          <w:ilvl w:val="0"/>
          <w:numId w:val="10"/>
        </w:numPr>
        <w:spacing w:before="0" w:after="0"/>
        <w:rPr>
          <w:sz w:val="22"/>
          <w:szCs w:val="24"/>
        </w:rPr>
      </w:pPr>
      <w:r w:rsidRPr="00F715E7">
        <w:rPr>
          <w:sz w:val="22"/>
          <w:szCs w:val="24"/>
        </w:rPr>
        <w:t xml:space="preserve">Preparación de la elección; </w:t>
      </w:r>
    </w:p>
    <w:p w14:paraId="6B7C721E" w14:textId="2032D40C" w:rsidR="00325033" w:rsidRPr="00F715E7" w:rsidRDefault="00A72CDF" w:rsidP="001E1EF8">
      <w:pPr>
        <w:pStyle w:val="Prrafodelista"/>
        <w:numPr>
          <w:ilvl w:val="0"/>
          <w:numId w:val="10"/>
        </w:numPr>
        <w:spacing w:before="0" w:after="0"/>
        <w:rPr>
          <w:sz w:val="22"/>
          <w:szCs w:val="24"/>
        </w:rPr>
      </w:pPr>
      <w:r w:rsidRPr="00F715E7">
        <w:rPr>
          <w:sz w:val="22"/>
          <w:szCs w:val="24"/>
        </w:rPr>
        <w:t xml:space="preserve">Jornada electoral; y </w:t>
      </w:r>
    </w:p>
    <w:p w14:paraId="537EE3E9" w14:textId="77777777" w:rsidR="00325033" w:rsidRPr="00F715E7" w:rsidRDefault="00A72CDF" w:rsidP="001E1EF8">
      <w:pPr>
        <w:pStyle w:val="Prrafodelista"/>
        <w:numPr>
          <w:ilvl w:val="0"/>
          <w:numId w:val="10"/>
        </w:numPr>
        <w:spacing w:before="0" w:after="0"/>
        <w:rPr>
          <w:sz w:val="22"/>
          <w:szCs w:val="24"/>
        </w:rPr>
      </w:pPr>
      <w:r w:rsidRPr="00F715E7">
        <w:rPr>
          <w:sz w:val="22"/>
          <w:szCs w:val="24"/>
        </w:rPr>
        <w:t xml:space="preserve">Actos posteriores a la elección y los resultados electorales. </w:t>
      </w:r>
    </w:p>
    <w:p w14:paraId="586C1C50" w14:textId="77777777" w:rsidR="00AE0571" w:rsidRPr="00F715E7" w:rsidRDefault="00AE0571" w:rsidP="0098787A">
      <w:pPr>
        <w:pStyle w:val="Prrafodelista"/>
        <w:spacing w:before="0" w:after="0"/>
        <w:rPr>
          <w:sz w:val="22"/>
          <w:szCs w:val="24"/>
        </w:rPr>
      </w:pPr>
    </w:p>
    <w:p w14:paraId="24844B16" w14:textId="6BBD4E27" w:rsidR="00746C09" w:rsidRPr="00F715E7" w:rsidRDefault="00A72CDF" w:rsidP="001E1EF8">
      <w:pPr>
        <w:pStyle w:val="Prrafodelista"/>
        <w:spacing w:before="0" w:after="0"/>
        <w:rPr>
          <w:sz w:val="22"/>
          <w:szCs w:val="24"/>
        </w:rPr>
      </w:pPr>
      <w:r w:rsidRPr="00F715E7">
        <w:rPr>
          <w:sz w:val="22"/>
          <w:szCs w:val="24"/>
        </w:rPr>
        <w:t>Durante los procesos electorales todos los días y horas serán hábiles. Los plazos se computarán de momento a momento.</w:t>
      </w:r>
    </w:p>
    <w:p w14:paraId="31F1C700" w14:textId="236C1615" w:rsidR="00325033" w:rsidRPr="00F715E7" w:rsidRDefault="00325033" w:rsidP="001E1EF8">
      <w:pPr>
        <w:pStyle w:val="Prrafodelista"/>
        <w:spacing w:before="0" w:after="0"/>
        <w:rPr>
          <w:sz w:val="22"/>
          <w:szCs w:val="24"/>
        </w:rPr>
      </w:pPr>
    </w:p>
    <w:p w14:paraId="34387B13" w14:textId="5A7C2C4E" w:rsidR="00F74C55" w:rsidRPr="00F715E7" w:rsidRDefault="00F74C55" w:rsidP="0098787A">
      <w:pPr>
        <w:pStyle w:val="Prrafodelista"/>
        <w:spacing w:before="0" w:after="0"/>
        <w:rPr>
          <w:sz w:val="22"/>
          <w:szCs w:val="24"/>
        </w:rPr>
      </w:pPr>
      <w:r w:rsidRPr="00F715E7">
        <w:rPr>
          <w:b/>
          <w:bCs/>
          <w:sz w:val="22"/>
          <w:szCs w:val="24"/>
        </w:rPr>
        <w:t>Artículo 172</w:t>
      </w:r>
      <w:r w:rsidRPr="00F715E7">
        <w:rPr>
          <w:sz w:val="22"/>
          <w:szCs w:val="24"/>
        </w:rPr>
        <w:t xml:space="preserve">. La etapa de los actos posteriores a la elección y resultados electorales se inicia con la remisión de paquetes a los consejos electorales que correspondan según la elección de que se trate y comprende: </w:t>
      </w:r>
    </w:p>
    <w:p w14:paraId="68BC9D53" w14:textId="77777777" w:rsidR="00AE0571" w:rsidRPr="00F715E7" w:rsidRDefault="00AE0571" w:rsidP="001E1EF8">
      <w:pPr>
        <w:pStyle w:val="Prrafodelista"/>
        <w:spacing w:before="0" w:after="0"/>
        <w:rPr>
          <w:sz w:val="22"/>
          <w:szCs w:val="24"/>
        </w:rPr>
      </w:pPr>
    </w:p>
    <w:p w14:paraId="168682F9" w14:textId="77777777" w:rsidR="00803E23" w:rsidRPr="00F715E7" w:rsidRDefault="00F74C55" w:rsidP="001E1EF8">
      <w:pPr>
        <w:pStyle w:val="Prrafodelista"/>
        <w:spacing w:before="0" w:after="0"/>
        <w:rPr>
          <w:sz w:val="22"/>
          <w:szCs w:val="24"/>
        </w:rPr>
      </w:pPr>
      <w:r w:rsidRPr="00F715E7">
        <w:rPr>
          <w:sz w:val="22"/>
          <w:szCs w:val="24"/>
        </w:rPr>
        <w:t xml:space="preserve">I. En el Consejo General: </w:t>
      </w:r>
    </w:p>
    <w:p w14:paraId="63F0D0AB" w14:textId="77777777" w:rsidR="00803E23" w:rsidRPr="00F715E7" w:rsidRDefault="00F74C55" w:rsidP="001E1EF8">
      <w:pPr>
        <w:pStyle w:val="Prrafodelista"/>
        <w:spacing w:before="0" w:after="0"/>
        <w:rPr>
          <w:sz w:val="22"/>
          <w:szCs w:val="24"/>
        </w:rPr>
      </w:pPr>
      <w:r w:rsidRPr="00F715E7">
        <w:rPr>
          <w:sz w:val="22"/>
          <w:szCs w:val="24"/>
        </w:rPr>
        <w:t xml:space="preserve">a) La realización del cómputo estatal de la elección de Gobernador, y en su caso, la emisión de la constancia de mayoría derivada de la declaración de validez de la elección y de la declaratoria de Gobernador Electo, respecto del candidato que hubiese obtenido el mayor número de votos; </w:t>
      </w:r>
    </w:p>
    <w:p w14:paraId="2168A129" w14:textId="77777777" w:rsidR="00803E23" w:rsidRPr="00F715E7" w:rsidRDefault="00F74C55" w:rsidP="001E1EF8">
      <w:pPr>
        <w:pStyle w:val="Prrafodelista"/>
        <w:spacing w:before="0" w:after="0"/>
        <w:rPr>
          <w:sz w:val="22"/>
          <w:szCs w:val="24"/>
        </w:rPr>
      </w:pPr>
      <w:r w:rsidRPr="00F715E7">
        <w:rPr>
          <w:sz w:val="22"/>
          <w:szCs w:val="24"/>
        </w:rPr>
        <w:t xml:space="preserve">b) La realización del cómputo de la elección de diputados por el principio de representación proporcional; </w:t>
      </w:r>
    </w:p>
    <w:p w14:paraId="57C75B02" w14:textId="77777777" w:rsidR="00803E23" w:rsidRPr="00F715E7" w:rsidRDefault="00F74C55" w:rsidP="001E1EF8">
      <w:pPr>
        <w:pStyle w:val="Prrafodelista"/>
        <w:spacing w:before="0" w:after="0"/>
        <w:rPr>
          <w:sz w:val="22"/>
          <w:szCs w:val="24"/>
        </w:rPr>
      </w:pPr>
      <w:r w:rsidRPr="00F715E7">
        <w:rPr>
          <w:sz w:val="22"/>
          <w:szCs w:val="24"/>
        </w:rPr>
        <w:t xml:space="preserve">c) La asignación de diputados electos por el principio de representación proporcional; </w:t>
      </w:r>
    </w:p>
    <w:p w14:paraId="6295FE16" w14:textId="77777777" w:rsidR="00803E23" w:rsidRPr="00F715E7" w:rsidRDefault="00F74C55" w:rsidP="001E1EF8">
      <w:pPr>
        <w:pStyle w:val="Prrafodelista"/>
        <w:spacing w:before="0" w:after="0"/>
        <w:rPr>
          <w:sz w:val="22"/>
          <w:szCs w:val="24"/>
        </w:rPr>
      </w:pPr>
      <w:r w:rsidRPr="00F715E7">
        <w:rPr>
          <w:sz w:val="22"/>
          <w:szCs w:val="24"/>
        </w:rPr>
        <w:lastRenderedPageBreak/>
        <w:t xml:space="preserve">d) La publicación en la Gaceta Oficial del Estado de los nombres de quienes hayan resultado electos en los procesos electorales para la renovación del titular del Poder Ejecutivo, del Congreso del Estado y de los ayuntamientos de la Entidad. </w:t>
      </w:r>
    </w:p>
    <w:p w14:paraId="33B55827" w14:textId="77777777" w:rsidR="00AE0571" w:rsidRPr="00F715E7" w:rsidRDefault="00AE0571" w:rsidP="0098787A">
      <w:pPr>
        <w:pStyle w:val="Prrafodelista"/>
        <w:spacing w:before="0" w:after="0"/>
        <w:rPr>
          <w:sz w:val="22"/>
          <w:szCs w:val="24"/>
        </w:rPr>
      </w:pPr>
    </w:p>
    <w:p w14:paraId="7D9E875B" w14:textId="3B046C23" w:rsidR="00803E23" w:rsidRPr="00F715E7" w:rsidRDefault="00F74C55" w:rsidP="001E1EF8">
      <w:pPr>
        <w:pStyle w:val="Prrafodelista"/>
        <w:spacing w:before="0" w:after="0"/>
        <w:rPr>
          <w:sz w:val="22"/>
          <w:szCs w:val="24"/>
        </w:rPr>
      </w:pPr>
      <w:r w:rsidRPr="00F715E7">
        <w:rPr>
          <w:sz w:val="22"/>
          <w:szCs w:val="24"/>
        </w:rPr>
        <w:t xml:space="preserve">II. En los Consejos Distritales y Municipales: </w:t>
      </w:r>
    </w:p>
    <w:p w14:paraId="4AF3DF47" w14:textId="77777777" w:rsidR="00803E23" w:rsidRPr="00F715E7" w:rsidRDefault="00F74C55" w:rsidP="001E1EF8">
      <w:pPr>
        <w:pStyle w:val="Prrafodelista"/>
        <w:spacing w:before="0" w:after="0"/>
        <w:rPr>
          <w:sz w:val="22"/>
          <w:szCs w:val="24"/>
        </w:rPr>
      </w:pPr>
      <w:r w:rsidRPr="00F715E7">
        <w:rPr>
          <w:sz w:val="22"/>
          <w:szCs w:val="24"/>
        </w:rPr>
        <w:t xml:space="preserve">a) La recepción de los paquetes electorales con expedientes de casilla, con su sobre adjunto, dentro de los plazos establecidos; </w:t>
      </w:r>
    </w:p>
    <w:p w14:paraId="3613701E" w14:textId="77777777" w:rsidR="00803E23" w:rsidRPr="00F715E7" w:rsidRDefault="00F74C55" w:rsidP="001E1EF8">
      <w:pPr>
        <w:pStyle w:val="Prrafodelista"/>
        <w:spacing w:before="0" w:after="0"/>
        <w:rPr>
          <w:sz w:val="22"/>
          <w:szCs w:val="24"/>
        </w:rPr>
      </w:pPr>
      <w:r w:rsidRPr="00F715E7">
        <w:rPr>
          <w:sz w:val="22"/>
          <w:szCs w:val="24"/>
        </w:rPr>
        <w:t xml:space="preserve">b) La información preliminar de los resultados contenidos en las actas de la elección; </w:t>
      </w:r>
    </w:p>
    <w:p w14:paraId="6281ABF1" w14:textId="77777777" w:rsidR="00803E23" w:rsidRPr="00F715E7" w:rsidRDefault="00F74C55" w:rsidP="001E1EF8">
      <w:pPr>
        <w:pStyle w:val="Prrafodelista"/>
        <w:spacing w:before="0" w:after="0"/>
        <w:rPr>
          <w:sz w:val="22"/>
          <w:szCs w:val="24"/>
        </w:rPr>
      </w:pPr>
      <w:r w:rsidRPr="00F715E7">
        <w:rPr>
          <w:sz w:val="22"/>
          <w:szCs w:val="24"/>
        </w:rPr>
        <w:t xml:space="preserve">c) La realización de los cómputos de las elecciones de diputados y ayuntamientos, respectivamente, así como los cómputos distritales de las elecciones de Gobernador; </w:t>
      </w:r>
    </w:p>
    <w:p w14:paraId="6C71FFE6" w14:textId="77777777" w:rsidR="00803E23" w:rsidRPr="00F715E7" w:rsidRDefault="00F74C55" w:rsidP="001E1EF8">
      <w:pPr>
        <w:pStyle w:val="Prrafodelista"/>
        <w:spacing w:before="0" w:after="0"/>
        <w:rPr>
          <w:sz w:val="22"/>
          <w:szCs w:val="24"/>
        </w:rPr>
      </w:pPr>
      <w:r w:rsidRPr="00F715E7">
        <w:rPr>
          <w:sz w:val="22"/>
          <w:szCs w:val="24"/>
        </w:rPr>
        <w:t xml:space="preserve">d) La declaración de validez de las elecciones y expedición de las constancias de mayoría en las elecciones de su competencia; </w:t>
      </w:r>
    </w:p>
    <w:p w14:paraId="0497D742" w14:textId="23AE2FF1" w:rsidR="00325033" w:rsidRPr="00F715E7" w:rsidRDefault="00F74C55" w:rsidP="001E1EF8">
      <w:pPr>
        <w:pStyle w:val="Prrafodelista"/>
        <w:spacing w:before="0" w:after="0"/>
        <w:rPr>
          <w:sz w:val="22"/>
          <w:szCs w:val="24"/>
        </w:rPr>
      </w:pPr>
      <w:r w:rsidRPr="00F715E7">
        <w:rPr>
          <w:sz w:val="22"/>
          <w:szCs w:val="24"/>
        </w:rPr>
        <w:t>e) La expedición de las constancias de asignación, en el caso de los Consejos Municipales del Instituto Electoral Veracruzano;</w:t>
      </w:r>
    </w:p>
    <w:p w14:paraId="1324A0D9" w14:textId="77777777" w:rsidR="00803E23" w:rsidRPr="00F715E7" w:rsidRDefault="00F74C55" w:rsidP="001E1EF8">
      <w:pPr>
        <w:pStyle w:val="Prrafodelista"/>
        <w:spacing w:before="0" w:after="0"/>
        <w:rPr>
          <w:sz w:val="22"/>
          <w:szCs w:val="24"/>
        </w:rPr>
      </w:pPr>
      <w:r w:rsidRPr="00F715E7">
        <w:rPr>
          <w:sz w:val="22"/>
          <w:szCs w:val="24"/>
        </w:rPr>
        <w:t xml:space="preserve">f) La recepción de los medios de impugnación que se interpongan y su remisión, con el informe y la documentación correspondiente, al Tribunal Electoral del Estado; </w:t>
      </w:r>
    </w:p>
    <w:p w14:paraId="26B6F255" w14:textId="77777777" w:rsidR="00803E23" w:rsidRPr="00F715E7" w:rsidRDefault="00F74C55" w:rsidP="001E1EF8">
      <w:pPr>
        <w:pStyle w:val="Prrafodelista"/>
        <w:spacing w:before="0" w:after="0"/>
        <w:rPr>
          <w:sz w:val="22"/>
          <w:szCs w:val="24"/>
        </w:rPr>
      </w:pPr>
      <w:r w:rsidRPr="00F715E7">
        <w:rPr>
          <w:sz w:val="22"/>
          <w:szCs w:val="24"/>
        </w:rPr>
        <w:t xml:space="preserve">g) La remisión de los paquetes de cómputo y la documentación electoral al órgano que corresponda, según la elección de que se trate; y </w:t>
      </w:r>
    </w:p>
    <w:p w14:paraId="4295F512" w14:textId="61DEE707" w:rsidR="00803E23" w:rsidRPr="00F715E7" w:rsidRDefault="00F74C55" w:rsidP="0098787A">
      <w:pPr>
        <w:pStyle w:val="Prrafodelista"/>
        <w:spacing w:before="0" w:after="0"/>
        <w:rPr>
          <w:sz w:val="22"/>
          <w:szCs w:val="24"/>
        </w:rPr>
      </w:pPr>
      <w:r w:rsidRPr="00F715E7">
        <w:rPr>
          <w:sz w:val="22"/>
          <w:szCs w:val="24"/>
        </w:rPr>
        <w:t xml:space="preserve">h) El informe general de la elección, con la documentación correspondiente, al Secretario Ejecutivo del Instituto; </w:t>
      </w:r>
    </w:p>
    <w:p w14:paraId="3F51DFC5" w14:textId="77777777" w:rsidR="00AE0571" w:rsidRPr="00F715E7" w:rsidRDefault="00AE0571" w:rsidP="001E1EF8">
      <w:pPr>
        <w:pStyle w:val="Prrafodelista"/>
        <w:spacing w:before="0" w:after="0"/>
        <w:rPr>
          <w:sz w:val="22"/>
          <w:szCs w:val="24"/>
        </w:rPr>
      </w:pPr>
    </w:p>
    <w:p w14:paraId="2DE0D3A3" w14:textId="7A810F0E" w:rsidR="00325033" w:rsidRPr="00F715E7" w:rsidRDefault="00F74C55" w:rsidP="001E1EF8">
      <w:pPr>
        <w:pStyle w:val="Prrafodelista"/>
        <w:spacing w:before="0" w:after="0"/>
        <w:rPr>
          <w:b/>
          <w:bCs/>
        </w:rPr>
      </w:pPr>
      <w:r w:rsidRPr="00F715E7">
        <w:rPr>
          <w:b/>
          <w:bCs/>
          <w:sz w:val="22"/>
          <w:szCs w:val="24"/>
        </w:rPr>
        <w:t>III. En el Tribunal Electoral del Estado: la substanciación y resolución, en forma definitiva, de los recursos de inconformidad en los casos legalmente previstos.</w:t>
      </w:r>
      <w:r w:rsidR="00AE0571" w:rsidRPr="00F715E7">
        <w:rPr>
          <w:b/>
          <w:bCs/>
          <w:sz w:val="22"/>
          <w:szCs w:val="24"/>
        </w:rPr>
        <w:t xml:space="preserve"> (Énfasis añadido)</w:t>
      </w:r>
    </w:p>
    <w:p w14:paraId="2D12ACCF" w14:textId="77777777" w:rsidR="00805CBD" w:rsidRPr="00F715E7" w:rsidRDefault="00805CBD" w:rsidP="001E1EF8">
      <w:pPr>
        <w:pStyle w:val="Prrafodelista"/>
        <w:spacing w:before="0" w:after="0"/>
        <w:rPr>
          <w:b/>
          <w:bCs/>
          <w:sz w:val="36"/>
          <w:szCs w:val="40"/>
        </w:rPr>
      </w:pPr>
    </w:p>
    <w:p w14:paraId="1E9B7586" w14:textId="03153CAC" w:rsidR="00746C09" w:rsidRPr="00F715E7" w:rsidRDefault="00746C09" w:rsidP="0098787A">
      <w:pPr>
        <w:pStyle w:val="Estilo1"/>
        <w:numPr>
          <w:ilvl w:val="0"/>
          <w:numId w:val="6"/>
        </w:numPr>
        <w:spacing w:before="0" w:after="0"/>
        <w:ind w:left="0"/>
        <w:rPr>
          <w:b/>
          <w:sz w:val="26"/>
          <w:szCs w:val="26"/>
        </w:rPr>
      </w:pPr>
      <w:r w:rsidRPr="00F715E7">
        <w:rPr>
          <w:sz w:val="26"/>
          <w:szCs w:val="26"/>
        </w:rPr>
        <w:t>Dicho</w:t>
      </w:r>
      <w:r w:rsidR="00414A2F" w:rsidRPr="00F715E7">
        <w:rPr>
          <w:sz w:val="26"/>
          <w:szCs w:val="26"/>
        </w:rPr>
        <w:t>s</w:t>
      </w:r>
      <w:r w:rsidRPr="00F715E7">
        <w:rPr>
          <w:sz w:val="26"/>
          <w:szCs w:val="26"/>
        </w:rPr>
        <w:t xml:space="preserve"> precepto</w:t>
      </w:r>
      <w:r w:rsidR="00414A2F" w:rsidRPr="00F715E7">
        <w:rPr>
          <w:sz w:val="26"/>
          <w:szCs w:val="26"/>
        </w:rPr>
        <w:t>s</w:t>
      </w:r>
      <w:r w:rsidRPr="00F715E7">
        <w:rPr>
          <w:sz w:val="26"/>
          <w:szCs w:val="26"/>
        </w:rPr>
        <w:t xml:space="preserve">, al señalar que los procesos electorales ordinarios en </w:t>
      </w:r>
      <w:r w:rsidR="00DB4A08">
        <w:rPr>
          <w:sz w:val="26"/>
          <w:szCs w:val="26"/>
        </w:rPr>
        <w:t xml:space="preserve">el Estado de </w:t>
      </w:r>
      <w:r w:rsidR="00414A2F" w:rsidRPr="00F715E7">
        <w:rPr>
          <w:sz w:val="26"/>
          <w:szCs w:val="26"/>
        </w:rPr>
        <w:t>Veracruz</w:t>
      </w:r>
      <w:r w:rsidRPr="00F715E7">
        <w:rPr>
          <w:sz w:val="26"/>
          <w:szCs w:val="26"/>
        </w:rPr>
        <w:t xml:space="preserve"> </w:t>
      </w:r>
      <w:r w:rsidRPr="00F715E7">
        <w:rPr>
          <w:bCs/>
          <w:sz w:val="26"/>
          <w:szCs w:val="26"/>
        </w:rPr>
        <w:t>concluyen</w:t>
      </w:r>
      <w:r w:rsidRPr="00F715E7">
        <w:rPr>
          <w:sz w:val="26"/>
          <w:szCs w:val="26"/>
        </w:rPr>
        <w:t xml:space="preserve"> cuando </w:t>
      </w:r>
      <w:r w:rsidR="00C31330" w:rsidRPr="00F715E7">
        <w:rPr>
          <w:sz w:val="26"/>
          <w:szCs w:val="26"/>
        </w:rPr>
        <w:t>en el Tribunal Electoral de</w:t>
      </w:r>
      <w:r w:rsidR="00DB4A08">
        <w:rPr>
          <w:sz w:val="26"/>
          <w:szCs w:val="26"/>
        </w:rPr>
        <w:t xml:space="preserve"> esa entidad</w:t>
      </w:r>
      <w:r w:rsidR="00C31330" w:rsidRPr="00F715E7">
        <w:rPr>
          <w:sz w:val="26"/>
          <w:szCs w:val="26"/>
        </w:rPr>
        <w:t xml:space="preserve"> se haya dado la substanciación y resolución, en forma definitiva, de los recursos de inconformidad en los casos legalmente previstos</w:t>
      </w:r>
      <w:r w:rsidR="00F75C5B" w:rsidRPr="00F715E7">
        <w:rPr>
          <w:sz w:val="26"/>
          <w:szCs w:val="26"/>
        </w:rPr>
        <w:t>,</w:t>
      </w:r>
      <w:r w:rsidR="00C31330" w:rsidRPr="00F715E7">
        <w:rPr>
          <w:sz w:val="26"/>
          <w:szCs w:val="26"/>
        </w:rPr>
        <w:t xml:space="preserve"> </w:t>
      </w:r>
      <w:r w:rsidRPr="00F715E7">
        <w:rPr>
          <w:sz w:val="26"/>
          <w:szCs w:val="26"/>
        </w:rPr>
        <w:t xml:space="preserve">permite concluir que el proceso electoral </w:t>
      </w:r>
      <w:r w:rsidR="007D0DF2" w:rsidRPr="00F715E7">
        <w:rPr>
          <w:sz w:val="26"/>
          <w:szCs w:val="26"/>
        </w:rPr>
        <w:t xml:space="preserve">2020-2021 </w:t>
      </w:r>
      <w:r w:rsidRPr="00F715E7">
        <w:rPr>
          <w:sz w:val="26"/>
          <w:szCs w:val="26"/>
        </w:rPr>
        <w:t xml:space="preserve">que se desarrolló en </w:t>
      </w:r>
      <w:r w:rsidR="00F75C5B" w:rsidRPr="00F715E7">
        <w:rPr>
          <w:sz w:val="26"/>
          <w:szCs w:val="26"/>
        </w:rPr>
        <w:t>Veracruz</w:t>
      </w:r>
      <w:r w:rsidRPr="00F715E7">
        <w:rPr>
          <w:sz w:val="26"/>
          <w:szCs w:val="26"/>
        </w:rPr>
        <w:t xml:space="preserve"> terminó, precisamente, </w:t>
      </w:r>
      <w:r w:rsidR="00F75C5B" w:rsidRPr="00F715E7">
        <w:rPr>
          <w:sz w:val="26"/>
          <w:szCs w:val="26"/>
        </w:rPr>
        <w:t>cuando</w:t>
      </w:r>
      <w:r w:rsidRPr="00F715E7">
        <w:rPr>
          <w:sz w:val="26"/>
          <w:szCs w:val="26"/>
        </w:rPr>
        <w:t xml:space="preserve"> todos los medios de impugnación </w:t>
      </w:r>
      <w:r w:rsidR="002D22F3" w:rsidRPr="00F715E7">
        <w:rPr>
          <w:sz w:val="26"/>
          <w:szCs w:val="26"/>
        </w:rPr>
        <w:t>citados</w:t>
      </w:r>
      <w:r w:rsidRPr="00F715E7">
        <w:rPr>
          <w:sz w:val="26"/>
          <w:szCs w:val="26"/>
        </w:rPr>
        <w:t xml:space="preserve"> se resolvieron por las autoridades </w:t>
      </w:r>
      <w:r w:rsidR="00691DAD" w:rsidRPr="00F715E7">
        <w:rPr>
          <w:sz w:val="26"/>
          <w:szCs w:val="26"/>
        </w:rPr>
        <w:t>señaladas</w:t>
      </w:r>
      <w:r w:rsidR="00325B64" w:rsidRPr="00F715E7">
        <w:rPr>
          <w:sz w:val="26"/>
          <w:szCs w:val="26"/>
        </w:rPr>
        <w:t>.</w:t>
      </w:r>
      <w:r w:rsidRPr="00F715E7">
        <w:rPr>
          <w:sz w:val="26"/>
          <w:szCs w:val="26"/>
        </w:rPr>
        <w:t xml:space="preserve"> </w:t>
      </w:r>
    </w:p>
    <w:p w14:paraId="7DA00F36" w14:textId="77777777" w:rsidR="007F6402" w:rsidRPr="00F715E7" w:rsidRDefault="007F6402" w:rsidP="0098787A">
      <w:pPr>
        <w:pStyle w:val="Estilo1"/>
        <w:numPr>
          <w:ilvl w:val="0"/>
          <w:numId w:val="0"/>
        </w:numPr>
        <w:spacing w:before="0" w:after="0"/>
        <w:rPr>
          <w:b/>
          <w:sz w:val="26"/>
          <w:szCs w:val="26"/>
        </w:rPr>
      </w:pPr>
    </w:p>
    <w:p w14:paraId="2906CD01" w14:textId="4E14FDEA" w:rsidR="00FF3142" w:rsidRPr="00F715E7" w:rsidRDefault="00325B64" w:rsidP="0098787A">
      <w:pPr>
        <w:pStyle w:val="Estilo1"/>
        <w:numPr>
          <w:ilvl w:val="0"/>
          <w:numId w:val="6"/>
        </w:numPr>
        <w:tabs>
          <w:tab w:val="left" w:pos="567"/>
        </w:tabs>
        <w:spacing w:before="0" w:after="0"/>
        <w:ind w:left="0"/>
        <w:rPr>
          <w:b/>
          <w:sz w:val="26"/>
          <w:szCs w:val="26"/>
        </w:rPr>
      </w:pPr>
      <w:r w:rsidRPr="00F715E7">
        <w:rPr>
          <w:bCs/>
          <w:sz w:val="26"/>
          <w:szCs w:val="26"/>
        </w:rPr>
        <w:t xml:space="preserve">Así, </w:t>
      </w:r>
      <w:r w:rsidR="00956FB8" w:rsidRPr="00F715E7">
        <w:rPr>
          <w:bCs/>
          <w:sz w:val="26"/>
          <w:szCs w:val="26"/>
        </w:rPr>
        <w:t>de l</w:t>
      </w:r>
      <w:r w:rsidR="00746C09" w:rsidRPr="00F715E7">
        <w:rPr>
          <w:bCs/>
          <w:sz w:val="26"/>
          <w:szCs w:val="26"/>
        </w:rPr>
        <w:t>a lectura del artículo</w:t>
      </w:r>
      <w:r w:rsidR="007F6402" w:rsidRPr="00F715E7">
        <w:rPr>
          <w:bCs/>
          <w:sz w:val="26"/>
          <w:szCs w:val="26"/>
        </w:rPr>
        <w:t xml:space="preserve"> </w:t>
      </w:r>
      <w:r w:rsidR="003A20C4" w:rsidRPr="00F715E7">
        <w:rPr>
          <w:bCs/>
          <w:sz w:val="26"/>
          <w:szCs w:val="26"/>
        </w:rPr>
        <w:t>S</w:t>
      </w:r>
      <w:r w:rsidR="007F6402" w:rsidRPr="00F715E7">
        <w:rPr>
          <w:bCs/>
          <w:sz w:val="26"/>
          <w:szCs w:val="26"/>
        </w:rPr>
        <w:t>egundo</w:t>
      </w:r>
      <w:r w:rsidR="00746C09" w:rsidRPr="00F715E7">
        <w:rPr>
          <w:bCs/>
          <w:sz w:val="26"/>
          <w:szCs w:val="26"/>
        </w:rPr>
        <w:t xml:space="preserve"> </w:t>
      </w:r>
      <w:r w:rsidR="003A20C4" w:rsidRPr="00F715E7">
        <w:rPr>
          <w:bCs/>
          <w:sz w:val="26"/>
          <w:szCs w:val="26"/>
        </w:rPr>
        <w:t>T</w:t>
      </w:r>
      <w:r w:rsidR="00746C09" w:rsidRPr="00F715E7">
        <w:rPr>
          <w:bCs/>
          <w:sz w:val="26"/>
          <w:szCs w:val="26"/>
        </w:rPr>
        <w:t>ransitorio del</w:t>
      </w:r>
      <w:r w:rsidR="00746C09" w:rsidRPr="00F715E7">
        <w:rPr>
          <w:sz w:val="26"/>
          <w:szCs w:val="26"/>
        </w:rPr>
        <w:t xml:space="preserve"> Decreto</w:t>
      </w:r>
      <w:r w:rsidR="003A20C4" w:rsidRPr="00F715E7">
        <w:rPr>
          <w:sz w:val="26"/>
          <w:szCs w:val="26"/>
        </w:rPr>
        <w:t xml:space="preserve"> número 2</w:t>
      </w:r>
      <w:r w:rsidR="00746C09" w:rsidRPr="00F715E7">
        <w:rPr>
          <w:bCs/>
          <w:sz w:val="26"/>
          <w:szCs w:val="26"/>
        </w:rPr>
        <w:t xml:space="preserve">, se desprende que </w:t>
      </w:r>
      <w:r w:rsidR="00746C09" w:rsidRPr="00F715E7">
        <w:rPr>
          <w:sz w:val="26"/>
          <w:szCs w:val="26"/>
        </w:rPr>
        <w:t xml:space="preserve">la </w:t>
      </w:r>
      <w:r w:rsidR="007F6402" w:rsidRPr="00F715E7">
        <w:rPr>
          <w:sz w:val="26"/>
          <w:szCs w:val="26"/>
        </w:rPr>
        <w:t xml:space="preserve">modificación impugnada </w:t>
      </w:r>
      <w:r w:rsidR="00746C09" w:rsidRPr="00F715E7">
        <w:rPr>
          <w:sz w:val="26"/>
          <w:szCs w:val="26"/>
        </w:rPr>
        <w:t>s</w:t>
      </w:r>
      <w:r w:rsidR="007F6402" w:rsidRPr="00F715E7">
        <w:rPr>
          <w:sz w:val="26"/>
          <w:szCs w:val="26"/>
        </w:rPr>
        <w:t>urtió efectos</w:t>
      </w:r>
      <w:r w:rsidR="00746C09" w:rsidRPr="00F715E7">
        <w:rPr>
          <w:sz w:val="26"/>
          <w:szCs w:val="26"/>
        </w:rPr>
        <w:t xml:space="preserve"> </w:t>
      </w:r>
      <w:r w:rsidR="00746C09" w:rsidRPr="00F715E7">
        <w:rPr>
          <w:b/>
          <w:bCs/>
          <w:sz w:val="26"/>
          <w:szCs w:val="26"/>
        </w:rPr>
        <w:t>después</w:t>
      </w:r>
      <w:r w:rsidR="00746C09" w:rsidRPr="00F715E7">
        <w:rPr>
          <w:sz w:val="26"/>
          <w:szCs w:val="26"/>
        </w:rPr>
        <w:t xml:space="preserve"> de que </w:t>
      </w:r>
      <w:r w:rsidR="00746C09" w:rsidRPr="00F715E7">
        <w:rPr>
          <w:sz w:val="26"/>
          <w:szCs w:val="26"/>
        </w:rPr>
        <w:lastRenderedPageBreak/>
        <w:t>el Tribunal Electoral resolvió todos los medios de impugnación que se interpusieron con motivo del proceso electoral 2020-2021.</w:t>
      </w:r>
    </w:p>
    <w:p w14:paraId="2436964D" w14:textId="77777777" w:rsidR="00FC55B8" w:rsidRPr="00F715E7" w:rsidRDefault="00FC55B8" w:rsidP="00FC55B8">
      <w:pPr>
        <w:pStyle w:val="Estilo1"/>
        <w:numPr>
          <w:ilvl w:val="0"/>
          <w:numId w:val="0"/>
        </w:numPr>
        <w:tabs>
          <w:tab w:val="left" w:pos="567"/>
        </w:tabs>
        <w:spacing w:before="0" w:after="0"/>
        <w:rPr>
          <w:sz w:val="26"/>
          <w:szCs w:val="26"/>
        </w:rPr>
      </w:pPr>
    </w:p>
    <w:p w14:paraId="238E6FBC" w14:textId="6BB76F08" w:rsidR="003A20C4" w:rsidRPr="00F715E7" w:rsidRDefault="00FC55B8" w:rsidP="00B454AD">
      <w:pPr>
        <w:pStyle w:val="Estilo1"/>
        <w:numPr>
          <w:ilvl w:val="0"/>
          <w:numId w:val="6"/>
        </w:numPr>
        <w:tabs>
          <w:tab w:val="left" w:pos="567"/>
        </w:tabs>
        <w:spacing w:before="0" w:after="0"/>
        <w:ind w:left="0"/>
        <w:rPr>
          <w:sz w:val="26"/>
          <w:szCs w:val="26"/>
        </w:rPr>
      </w:pPr>
      <w:r w:rsidRPr="00F715E7">
        <w:rPr>
          <w:sz w:val="26"/>
          <w:szCs w:val="26"/>
        </w:rPr>
        <w:t xml:space="preserve">Aunado a ello, aun cuando no se hace referencia a este supuesto en los conceptos de invalidez, lo cierto es que </w:t>
      </w:r>
      <w:r w:rsidR="00B454AD" w:rsidRPr="00F715E7">
        <w:rPr>
          <w:sz w:val="26"/>
          <w:szCs w:val="26"/>
        </w:rPr>
        <w:t xml:space="preserve">la norma impugnada también </w:t>
      </w:r>
      <w:r w:rsidRPr="00F715E7">
        <w:rPr>
          <w:sz w:val="26"/>
          <w:szCs w:val="26"/>
        </w:rPr>
        <w:t>se emitió con la anticipación debida de noventa días a que se refiere el multicitado artículo 15 constitucional</w:t>
      </w:r>
      <w:r w:rsidR="00B454AD" w:rsidRPr="00F715E7">
        <w:rPr>
          <w:sz w:val="26"/>
          <w:szCs w:val="26"/>
        </w:rPr>
        <w:t xml:space="preserve">; pues </w:t>
      </w:r>
      <w:r w:rsidRPr="00F715E7">
        <w:rPr>
          <w:sz w:val="26"/>
          <w:szCs w:val="26"/>
        </w:rPr>
        <w:t>de acuerdo con el informe del Organismo Público Local Electoral del Estado de Veracruz, el próximo proceso electoral ordinario local iniciará en los primeros diez días de noviembre del año dos mil veintitrés</w:t>
      </w:r>
      <w:r w:rsidR="00B454AD" w:rsidRPr="00F715E7">
        <w:rPr>
          <w:sz w:val="26"/>
          <w:szCs w:val="26"/>
        </w:rPr>
        <w:t>.</w:t>
      </w:r>
      <w:r w:rsidRPr="00F715E7">
        <w:rPr>
          <w:sz w:val="26"/>
          <w:szCs w:val="26"/>
        </w:rPr>
        <w:t xml:space="preserve"> </w:t>
      </w:r>
    </w:p>
    <w:p w14:paraId="772B7EC3" w14:textId="77777777" w:rsidR="00B454AD" w:rsidRPr="00F715E7" w:rsidRDefault="00B454AD" w:rsidP="00B454AD">
      <w:pPr>
        <w:pStyle w:val="Estilo1"/>
        <w:numPr>
          <w:ilvl w:val="0"/>
          <w:numId w:val="0"/>
        </w:numPr>
        <w:tabs>
          <w:tab w:val="left" w:pos="567"/>
        </w:tabs>
        <w:spacing w:before="0" w:after="0"/>
        <w:rPr>
          <w:sz w:val="26"/>
          <w:szCs w:val="26"/>
        </w:rPr>
      </w:pPr>
    </w:p>
    <w:p w14:paraId="41DD25DA" w14:textId="0E8B3F8B" w:rsidR="007438B5" w:rsidRPr="00F715E7" w:rsidRDefault="00D1786D" w:rsidP="003A20C4">
      <w:pPr>
        <w:pStyle w:val="Estilo1"/>
        <w:numPr>
          <w:ilvl w:val="0"/>
          <w:numId w:val="6"/>
        </w:numPr>
        <w:tabs>
          <w:tab w:val="left" w:pos="0"/>
        </w:tabs>
        <w:spacing w:before="0" w:after="0"/>
        <w:ind w:left="0"/>
        <w:rPr>
          <w:sz w:val="26"/>
          <w:szCs w:val="26"/>
        </w:rPr>
      </w:pPr>
      <w:r w:rsidRPr="00F715E7">
        <w:rPr>
          <w:sz w:val="26"/>
          <w:szCs w:val="26"/>
        </w:rPr>
        <w:t xml:space="preserve">Esto ya que </w:t>
      </w:r>
      <w:r w:rsidR="00B372F6" w:rsidRPr="00F715E7">
        <w:rPr>
          <w:sz w:val="26"/>
          <w:szCs w:val="26"/>
        </w:rPr>
        <w:t>una eventual elección extraordinaria es consecuencia de un proceso electoral ordinario viciado</w:t>
      </w:r>
      <w:r w:rsidR="00392247" w:rsidRPr="00F715E7">
        <w:rPr>
          <w:sz w:val="26"/>
          <w:szCs w:val="26"/>
        </w:rPr>
        <w:t xml:space="preserve"> o que no pudo celebrarse</w:t>
      </w:r>
      <w:r w:rsidR="00B372F6" w:rsidRPr="00F715E7">
        <w:rPr>
          <w:sz w:val="26"/>
          <w:szCs w:val="26"/>
        </w:rPr>
        <w:t xml:space="preserve">, </w:t>
      </w:r>
      <w:r w:rsidR="00392247" w:rsidRPr="00F715E7">
        <w:rPr>
          <w:sz w:val="26"/>
          <w:szCs w:val="26"/>
        </w:rPr>
        <w:t xml:space="preserve">pero no debe considerarse, para efectos de la prohibición establecida en el numeral 105 constitucional, como una etapa o continuación del </w:t>
      </w:r>
      <w:r w:rsidR="00B372F6" w:rsidRPr="00F715E7">
        <w:rPr>
          <w:sz w:val="26"/>
          <w:szCs w:val="26"/>
        </w:rPr>
        <w:t>proceso electoral ordinario</w:t>
      </w:r>
      <w:r w:rsidR="006E46C7" w:rsidRPr="00F715E7">
        <w:rPr>
          <w:sz w:val="26"/>
          <w:szCs w:val="26"/>
        </w:rPr>
        <w:t>.</w:t>
      </w:r>
    </w:p>
    <w:p w14:paraId="19CB728B" w14:textId="77777777" w:rsidR="00A735FA" w:rsidRPr="00F715E7" w:rsidRDefault="00A735FA" w:rsidP="0098787A">
      <w:pPr>
        <w:pStyle w:val="Estilo1"/>
        <w:numPr>
          <w:ilvl w:val="0"/>
          <w:numId w:val="0"/>
        </w:numPr>
        <w:tabs>
          <w:tab w:val="left" w:pos="567"/>
        </w:tabs>
        <w:spacing w:before="0" w:after="0"/>
        <w:rPr>
          <w:rFonts w:ascii="Segoe UI" w:hAnsi="Segoe UI" w:cs="Segoe UI"/>
          <w:color w:val="242424"/>
          <w:sz w:val="21"/>
          <w:szCs w:val="21"/>
          <w:shd w:val="clear" w:color="auto" w:fill="FFFFFF"/>
        </w:rPr>
      </w:pPr>
    </w:p>
    <w:p w14:paraId="310A0166" w14:textId="55C6A9A1" w:rsidR="00EB21AE" w:rsidRPr="00F715E7" w:rsidRDefault="00070AF3" w:rsidP="00EB21AE">
      <w:pPr>
        <w:pStyle w:val="Estilo1"/>
        <w:numPr>
          <w:ilvl w:val="0"/>
          <w:numId w:val="6"/>
        </w:numPr>
        <w:tabs>
          <w:tab w:val="left" w:pos="567"/>
        </w:tabs>
        <w:spacing w:before="0" w:after="0"/>
        <w:ind w:left="0"/>
        <w:rPr>
          <w:sz w:val="26"/>
          <w:szCs w:val="26"/>
        </w:rPr>
      </w:pPr>
      <w:r w:rsidRPr="00F715E7">
        <w:rPr>
          <w:sz w:val="26"/>
          <w:szCs w:val="26"/>
        </w:rPr>
        <w:t xml:space="preserve">Esta Suprema Corte, al resolver la </w:t>
      </w:r>
      <w:r w:rsidR="00DB4A08">
        <w:rPr>
          <w:sz w:val="26"/>
          <w:szCs w:val="26"/>
        </w:rPr>
        <w:t>a</w:t>
      </w:r>
      <w:r w:rsidRPr="00F715E7">
        <w:rPr>
          <w:sz w:val="26"/>
          <w:szCs w:val="26"/>
        </w:rPr>
        <w:t xml:space="preserve">cción de </w:t>
      </w:r>
      <w:r w:rsidR="00DB4A08">
        <w:rPr>
          <w:sz w:val="26"/>
          <w:szCs w:val="26"/>
        </w:rPr>
        <w:t>i</w:t>
      </w:r>
      <w:r w:rsidRPr="00F715E7">
        <w:rPr>
          <w:sz w:val="26"/>
          <w:szCs w:val="26"/>
        </w:rPr>
        <w:t xml:space="preserve">nconstitucionalidad </w:t>
      </w:r>
      <w:r w:rsidRPr="00F715E7">
        <w:rPr>
          <w:b/>
          <w:bCs/>
          <w:sz w:val="26"/>
          <w:szCs w:val="26"/>
        </w:rPr>
        <w:t>28/2005</w:t>
      </w:r>
      <w:r w:rsidRPr="00F715E7">
        <w:rPr>
          <w:sz w:val="26"/>
          <w:szCs w:val="26"/>
        </w:rPr>
        <w:t xml:space="preserve"> estimó </w:t>
      </w:r>
      <w:r w:rsidR="00DF2B20" w:rsidRPr="00F715E7">
        <w:rPr>
          <w:sz w:val="26"/>
          <w:szCs w:val="26"/>
        </w:rPr>
        <w:t>que: “</w:t>
      </w:r>
      <w:r w:rsidRPr="00F715E7">
        <w:rPr>
          <w:sz w:val="26"/>
          <w:szCs w:val="26"/>
        </w:rPr>
        <w:t xml:space="preserve">La designación de la representación nacional se realiza a través del voto de los ciudadanos y puede ser en dos formas, la primera en los plazos y términos previamente establecidos en la ley, caso en el cual se está en presencia de un proceso electoral ordinario, y la segunda en casos especiales en que por una circunstancia de excepción no se logra integrar la representación nacional con base en el proceso electoral ordinario y ante el imperativo de designar e integrar los órganos representativos de la voluntad popular, el propio legislador ha establecido </w:t>
      </w:r>
      <w:r w:rsidRPr="00F715E7">
        <w:rPr>
          <w:b/>
          <w:bCs/>
          <w:sz w:val="26"/>
          <w:szCs w:val="26"/>
        </w:rPr>
        <w:t>un régimen excepcional al cual se le ha denominado proceso electoral extraordinario</w:t>
      </w:r>
      <w:r w:rsidRPr="00F715E7">
        <w:rPr>
          <w:sz w:val="26"/>
          <w:szCs w:val="26"/>
        </w:rPr>
        <w:t>.</w:t>
      </w:r>
      <w:r w:rsidR="00DF2B20" w:rsidRPr="00F715E7">
        <w:rPr>
          <w:sz w:val="26"/>
          <w:szCs w:val="26"/>
        </w:rPr>
        <w:t>”</w:t>
      </w:r>
      <w:r w:rsidR="00F86D4A" w:rsidRPr="00F715E7">
        <w:rPr>
          <w:rStyle w:val="Refdenotaalpie"/>
          <w:sz w:val="26"/>
          <w:szCs w:val="26"/>
        </w:rPr>
        <w:footnoteReference w:id="43"/>
      </w:r>
    </w:p>
    <w:p w14:paraId="24E3A6B7" w14:textId="77777777" w:rsidR="00EB21AE" w:rsidRPr="00F715E7" w:rsidRDefault="00EB21AE" w:rsidP="00EB21AE">
      <w:pPr>
        <w:pStyle w:val="Prrafodelista"/>
        <w:rPr>
          <w:sz w:val="26"/>
          <w:szCs w:val="26"/>
        </w:rPr>
      </w:pPr>
    </w:p>
    <w:p w14:paraId="0655CE9A" w14:textId="62007DD0" w:rsidR="00EB21AE" w:rsidRPr="00F715E7" w:rsidRDefault="00A61D08" w:rsidP="00DD4431">
      <w:pPr>
        <w:pStyle w:val="Estilo1"/>
        <w:numPr>
          <w:ilvl w:val="0"/>
          <w:numId w:val="6"/>
        </w:numPr>
        <w:tabs>
          <w:tab w:val="left" w:pos="567"/>
        </w:tabs>
        <w:spacing w:before="0" w:after="0"/>
        <w:ind w:left="0"/>
        <w:rPr>
          <w:sz w:val="26"/>
          <w:szCs w:val="26"/>
        </w:rPr>
      </w:pPr>
      <w:r w:rsidRPr="00F715E7">
        <w:rPr>
          <w:sz w:val="26"/>
          <w:szCs w:val="26"/>
        </w:rPr>
        <w:t xml:space="preserve">En el citado asunto, también </w:t>
      </w:r>
      <w:r w:rsidR="00EB21AE" w:rsidRPr="00F715E7">
        <w:rPr>
          <w:sz w:val="26"/>
          <w:szCs w:val="26"/>
        </w:rPr>
        <w:t xml:space="preserve">se estableció </w:t>
      </w:r>
      <w:r w:rsidR="00403506" w:rsidRPr="00F715E7">
        <w:rPr>
          <w:sz w:val="26"/>
          <w:szCs w:val="26"/>
        </w:rPr>
        <w:t xml:space="preserve">que </w:t>
      </w:r>
      <w:r w:rsidR="00403506" w:rsidRPr="00F715E7">
        <w:rPr>
          <w:b/>
          <w:bCs/>
          <w:sz w:val="26"/>
          <w:szCs w:val="26"/>
        </w:rPr>
        <w:t>el proceso electoral extraordinario debe llevarse a cabo siguiendo los mismos lineamientos del proceso electoral ordinario</w:t>
      </w:r>
      <w:r w:rsidR="00403506" w:rsidRPr="00F715E7">
        <w:rPr>
          <w:sz w:val="26"/>
          <w:szCs w:val="26"/>
        </w:rPr>
        <w:t>, solo que su preparación y ejecución deben ser de manera expedita, sin que ello deba implicar que se contravengan o restrinjan las normas electorales contenidas en el código electoral respectivo.</w:t>
      </w:r>
      <w:r w:rsidRPr="00F715E7">
        <w:rPr>
          <w:sz w:val="26"/>
          <w:szCs w:val="26"/>
        </w:rPr>
        <w:t xml:space="preserve"> en el sentido de que no puede desvincularse el desarrollo de una elección ordinaria con una extraordinaria en cuanto a las reglas aplicables al mismo, ya que la segunda es consecuencia de la primera.</w:t>
      </w:r>
    </w:p>
    <w:p w14:paraId="14D0D39A" w14:textId="77777777" w:rsidR="000842DA" w:rsidRPr="00F715E7" w:rsidRDefault="000842DA" w:rsidP="00DD4431">
      <w:pPr>
        <w:pStyle w:val="Prrafodelista"/>
        <w:spacing w:before="0" w:after="0" w:line="360" w:lineRule="auto"/>
        <w:rPr>
          <w:sz w:val="26"/>
          <w:szCs w:val="26"/>
        </w:rPr>
      </w:pPr>
    </w:p>
    <w:p w14:paraId="47E7706D" w14:textId="21678B43" w:rsidR="000842DA" w:rsidRPr="00F715E7" w:rsidRDefault="00DD4431" w:rsidP="00C41BBF">
      <w:pPr>
        <w:pStyle w:val="Estilo1"/>
        <w:numPr>
          <w:ilvl w:val="0"/>
          <w:numId w:val="6"/>
        </w:numPr>
        <w:tabs>
          <w:tab w:val="left" w:pos="567"/>
        </w:tabs>
        <w:spacing w:before="0" w:after="0"/>
        <w:ind w:left="0"/>
        <w:rPr>
          <w:sz w:val="26"/>
          <w:szCs w:val="26"/>
        </w:rPr>
      </w:pPr>
      <w:r w:rsidRPr="00F715E7">
        <w:rPr>
          <w:sz w:val="26"/>
          <w:szCs w:val="26"/>
        </w:rPr>
        <w:t xml:space="preserve">Así, si bien las reformas entraron en vigor a partir del primero de enero del año en curso, es decir, cuatro días antes de que diera inicio </w:t>
      </w:r>
      <w:r w:rsidR="00DB053F" w:rsidRPr="00F715E7">
        <w:rPr>
          <w:sz w:val="26"/>
          <w:szCs w:val="26"/>
        </w:rPr>
        <w:t>e</w:t>
      </w:r>
      <w:r w:rsidRPr="00F715E7">
        <w:rPr>
          <w:sz w:val="26"/>
          <w:szCs w:val="26"/>
        </w:rPr>
        <w:t>l proceso electoral extraordinario en Veracruz</w:t>
      </w:r>
      <w:r w:rsidR="00DB053F" w:rsidRPr="00F715E7">
        <w:rPr>
          <w:sz w:val="26"/>
          <w:szCs w:val="26"/>
        </w:rPr>
        <w:t xml:space="preserve">, lo cierto es que el mismo se debe regir por las reglas </w:t>
      </w:r>
      <w:r w:rsidRPr="00F715E7">
        <w:rPr>
          <w:sz w:val="26"/>
          <w:szCs w:val="26"/>
        </w:rPr>
        <w:t xml:space="preserve">que se aplicaron al proceso electoral ordinario </w:t>
      </w:r>
      <w:r w:rsidR="00DB053F" w:rsidRPr="00F715E7">
        <w:rPr>
          <w:sz w:val="26"/>
          <w:szCs w:val="26"/>
        </w:rPr>
        <w:t xml:space="preserve">2020-2021 </w:t>
      </w:r>
      <w:r w:rsidRPr="00F715E7">
        <w:rPr>
          <w:sz w:val="26"/>
          <w:szCs w:val="26"/>
        </w:rPr>
        <w:t>y las reformas solo serán aplicables hasta el próximo proceso electoral ordinario que inicia en 2023.</w:t>
      </w:r>
    </w:p>
    <w:p w14:paraId="367B8C2A" w14:textId="77777777" w:rsidR="00C41BBF" w:rsidRPr="00F715E7" w:rsidRDefault="00C41BBF" w:rsidP="00C41BBF">
      <w:pPr>
        <w:pStyle w:val="Prrafodelista"/>
        <w:spacing w:before="0" w:after="0"/>
        <w:rPr>
          <w:sz w:val="26"/>
          <w:szCs w:val="26"/>
        </w:rPr>
      </w:pPr>
    </w:p>
    <w:p w14:paraId="158BF8A1" w14:textId="77777777" w:rsidR="008238AC" w:rsidRPr="00F715E7" w:rsidRDefault="00C41BBF" w:rsidP="008238AC">
      <w:pPr>
        <w:pStyle w:val="Estilo1"/>
        <w:numPr>
          <w:ilvl w:val="0"/>
          <w:numId w:val="6"/>
        </w:numPr>
        <w:tabs>
          <w:tab w:val="left" w:pos="567"/>
        </w:tabs>
        <w:spacing w:before="0" w:after="0"/>
        <w:ind w:left="0"/>
        <w:rPr>
          <w:sz w:val="26"/>
          <w:szCs w:val="26"/>
        </w:rPr>
      </w:pPr>
      <w:r w:rsidRPr="00F715E7">
        <w:rPr>
          <w:sz w:val="26"/>
          <w:szCs w:val="26"/>
        </w:rPr>
        <w:t xml:space="preserve">Al respecto, </w:t>
      </w:r>
      <w:r w:rsidR="0030795E" w:rsidRPr="00F715E7">
        <w:rPr>
          <w:sz w:val="26"/>
          <w:szCs w:val="26"/>
        </w:rPr>
        <w:t xml:space="preserve">si bien el Partido de la Revolución Democrática señala que erróneamente el instituto electoral local emitió el Acuerdo   OPLEV/CG006/2022 por el que se determinan las cifras y la distribución del financiamiento público que corresponden a las organizaciones políticas para el ejercicio 2022, pues se basó en la ley vigente; </w:t>
      </w:r>
      <w:r w:rsidR="003B20E3" w:rsidRPr="00F715E7">
        <w:rPr>
          <w:sz w:val="26"/>
          <w:szCs w:val="26"/>
        </w:rPr>
        <w:t>ello no torna inconstitucional la norma</w:t>
      </w:r>
      <w:r w:rsidR="008238AC" w:rsidRPr="00F715E7">
        <w:rPr>
          <w:sz w:val="26"/>
          <w:szCs w:val="26"/>
        </w:rPr>
        <w:t xml:space="preserve">, pues en todo caso </w:t>
      </w:r>
      <w:r w:rsidR="00743EB5" w:rsidRPr="00F715E7">
        <w:rPr>
          <w:sz w:val="26"/>
          <w:szCs w:val="26"/>
        </w:rPr>
        <w:t>se trat</w:t>
      </w:r>
      <w:r w:rsidR="00A21686" w:rsidRPr="00F715E7">
        <w:rPr>
          <w:sz w:val="26"/>
          <w:szCs w:val="26"/>
        </w:rPr>
        <w:t>ó</w:t>
      </w:r>
      <w:r w:rsidR="00743EB5" w:rsidRPr="00F715E7">
        <w:rPr>
          <w:sz w:val="26"/>
          <w:szCs w:val="26"/>
        </w:rPr>
        <w:t xml:space="preserve"> de un problema de aplicación de </w:t>
      </w:r>
      <w:proofErr w:type="gramStart"/>
      <w:r w:rsidR="00743EB5" w:rsidRPr="00F715E7">
        <w:rPr>
          <w:sz w:val="26"/>
          <w:szCs w:val="26"/>
        </w:rPr>
        <w:t xml:space="preserve">la </w:t>
      </w:r>
      <w:r w:rsidR="008238AC" w:rsidRPr="00F715E7">
        <w:rPr>
          <w:sz w:val="26"/>
          <w:szCs w:val="26"/>
        </w:rPr>
        <w:t>misma</w:t>
      </w:r>
      <w:proofErr w:type="gramEnd"/>
      <w:r w:rsidR="00743EB5" w:rsidRPr="00F715E7">
        <w:rPr>
          <w:sz w:val="26"/>
          <w:szCs w:val="26"/>
        </w:rPr>
        <w:t xml:space="preserve"> </w:t>
      </w:r>
      <w:r w:rsidR="00331B8A" w:rsidRPr="00F715E7">
        <w:rPr>
          <w:sz w:val="26"/>
          <w:szCs w:val="26"/>
        </w:rPr>
        <w:t>por parte de la autoridad</w:t>
      </w:r>
      <w:r w:rsidR="008238AC" w:rsidRPr="00F715E7">
        <w:rPr>
          <w:sz w:val="26"/>
          <w:szCs w:val="26"/>
        </w:rPr>
        <w:t>.</w:t>
      </w:r>
    </w:p>
    <w:p w14:paraId="35CDF688" w14:textId="77777777" w:rsidR="008238AC" w:rsidRPr="00F715E7" w:rsidRDefault="008238AC" w:rsidP="008238AC">
      <w:pPr>
        <w:pStyle w:val="Prrafodelista"/>
        <w:spacing w:before="0" w:after="0"/>
        <w:rPr>
          <w:sz w:val="26"/>
          <w:szCs w:val="26"/>
        </w:rPr>
      </w:pPr>
    </w:p>
    <w:p w14:paraId="1C565159" w14:textId="7A645516" w:rsidR="00C41BBF" w:rsidRPr="00F715E7" w:rsidRDefault="008238AC" w:rsidP="008238AC">
      <w:pPr>
        <w:pStyle w:val="Estilo1"/>
        <w:numPr>
          <w:ilvl w:val="0"/>
          <w:numId w:val="6"/>
        </w:numPr>
        <w:tabs>
          <w:tab w:val="left" w:pos="567"/>
        </w:tabs>
        <w:spacing w:before="0" w:after="0"/>
        <w:ind w:left="0"/>
        <w:rPr>
          <w:b/>
          <w:bCs/>
          <w:sz w:val="26"/>
          <w:szCs w:val="26"/>
        </w:rPr>
      </w:pPr>
      <w:r w:rsidRPr="00F715E7">
        <w:rPr>
          <w:sz w:val="26"/>
          <w:szCs w:val="26"/>
        </w:rPr>
        <w:t xml:space="preserve">Dicho acto, </w:t>
      </w:r>
      <w:r w:rsidR="00331B8A" w:rsidRPr="00F715E7">
        <w:rPr>
          <w:sz w:val="26"/>
          <w:szCs w:val="26"/>
        </w:rPr>
        <w:t>puede</w:t>
      </w:r>
      <w:r w:rsidR="00A21686" w:rsidRPr="00F715E7">
        <w:rPr>
          <w:sz w:val="26"/>
          <w:szCs w:val="26"/>
        </w:rPr>
        <w:t xml:space="preserve"> ser</w:t>
      </w:r>
      <w:r w:rsidR="00331B8A" w:rsidRPr="00F715E7">
        <w:rPr>
          <w:sz w:val="26"/>
          <w:szCs w:val="26"/>
        </w:rPr>
        <w:t xml:space="preserve">, como lo fue, impugnado y en el caso, resulta un hecho notorio para este Alto Tribunal que </w:t>
      </w:r>
      <w:r w:rsidR="00DA6634" w:rsidRPr="00F715E7">
        <w:rPr>
          <w:sz w:val="26"/>
          <w:szCs w:val="26"/>
        </w:rPr>
        <w:t xml:space="preserve">el Tribunal </w:t>
      </w:r>
      <w:r w:rsidRPr="00F715E7">
        <w:rPr>
          <w:sz w:val="26"/>
          <w:szCs w:val="26"/>
        </w:rPr>
        <w:t xml:space="preserve">Electoral </w:t>
      </w:r>
      <w:r w:rsidR="00DA6634" w:rsidRPr="00F715E7">
        <w:rPr>
          <w:sz w:val="26"/>
          <w:szCs w:val="26"/>
        </w:rPr>
        <w:t xml:space="preserve">de Veracruz resolvió los recursos de apelación TEV-RAP-1/2022 y sus acumulados, en los que ordenó al Consejo General </w:t>
      </w:r>
      <w:r w:rsidR="006F257D" w:rsidRPr="00F715E7">
        <w:rPr>
          <w:sz w:val="26"/>
          <w:szCs w:val="26"/>
        </w:rPr>
        <w:t xml:space="preserve">del Instituto electoral </w:t>
      </w:r>
      <w:r w:rsidR="003E60D5" w:rsidRPr="00F715E7">
        <w:rPr>
          <w:sz w:val="26"/>
          <w:szCs w:val="26"/>
        </w:rPr>
        <w:t>l</w:t>
      </w:r>
      <w:r w:rsidR="006F257D" w:rsidRPr="00F715E7">
        <w:rPr>
          <w:sz w:val="26"/>
          <w:szCs w:val="26"/>
        </w:rPr>
        <w:t xml:space="preserve">ocal </w:t>
      </w:r>
      <w:r w:rsidR="00DA6634" w:rsidRPr="00F715E7">
        <w:rPr>
          <w:sz w:val="26"/>
          <w:szCs w:val="26"/>
        </w:rPr>
        <w:t xml:space="preserve">realizar una </w:t>
      </w:r>
      <w:r w:rsidR="00DA6634" w:rsidRPr="00F715E7">
        <w:rPr>
          <w:sz w:val="26"/>
          <w:szCs w:val="26"/>
        </w:rPr>
        <w:lastRenderedPageBreak/>
        <w:t xml:space="preserve">nueva distribución del financiamiento público para el sostenimiento de actividades ordinarias de los partidos políticos para el ejercicio 2022, con base en lo establecido en el artículo 50, apartado A, fracción I del Código Electoral </w:t>
      </w:r>
      <w:r w:rsidR="00DA6634" w:rsidRPr="00F715E7">
        <w:rPr>
          <w:b/>
          <w:bCs/>
          <w:sz w:val="26"/>
          <w:szCs w:val="26"/>
        </w:rPr>
        <w:t>previo al Decreto número 2 que lo reformó emitido el veintiocho de diciembre de dos mil veintiuno</w:t>
      </w:r>
      <w:r w:rsidR="00CB6FAB" w:rsidRPr="00F715E7">
        <w:rPr>
          <w:b/>
          <w:bCs/>
          <w:sz w:val="26"/>
          <w:szCs w:val="26"/>
        </w:rPr>
        <w:t xml:space="preserve">; </w:t>
      </w:r>
      <w:r w:rsidR="00751860" w:rsidRPr="00F715E7">
        <w:rPr>
          <w:sz w:val="26"/>
          <w:szCs w:val="26"/>
        </w:rPr>
        <w:t>cuestión a la que dio cumplimiento el órgano electoral mediante diverso OPLEV/CG061/2022 de veint</w:t>
      </w:r>
      <w:r w:rsidR="008B497A" w:rsidRPr="00F715E7">
        <w:rPr>
          <w:sz w:val="26"/>
          <w:szCs w:val="26"/>
        </w:rPr>
        <w:t>e</w:t>
      </w:r>
      <w:r w:rsidR="00751860" w:rsidRPr="00F715E7">
        <w:rPr>
          <w:sz w:val="26"/>
          <w:szCs w:val="26"/>
        </w:rPr>
        <w:t xml:space="preserve"> de febrero del año en curso.</w:t>
      </w:r>
      <w:r w:rsidR="00293ABF" w:rsidRPr="00F715E7">
        <w:rPr>
          <w:rStyle w:val="Refdenotaalpie"/>
          <w:sz w:val="26"/>
          <w:szCs w:val="26"/>
        </w:rPr>
        <w:footnoteReference w:id="44"/>
      </w:r>
    </w:p>
    <w:p w14:paraId="21DC582B" w14:textId="77777777" w:rsidR="00B55327" w:rsidRPr="00F715E7" w:rsidRDefault="00B55327" w:rsidP="00C41BBF">
      <w:pPr>
        <w:pStyle w:val="Estilo1"/>
        <w:numPr>
          <w:ilvl w:val="0"/>
          <w:numId w:val="0"/>
        </w:numPr>
        <w:tabs>
          <w:tab w:val="left" w:pos="567"/>
        </w:tabs>
        <w:spacing w:before="0" w:after="0"/>
        <w:rPr>
          <w:sz w:val="26"/>
          <w:szCs w:val="26"/>
        </w:rPr>
      </w:pPr>
    </w:p>
    <w:p w14:paraId="1982CBF3" w14:textId="7D5007CE" w:rsidR="001858E8" w:rsidRPr="00F715E7" w:rsidRDefault="00442F59" w:rsidP="00C41BBF">
      <w:pPr>
        <w:pStyle w:val="Estilo1"/>
        <w:numPr>
          <w:ilvl w:val="0"/>
          <w:numId w:val="6"/>
        </w:numPr>
        <w:tabs>
          <w:tab w:val="left" w:pos="567"/>
        </w:tabs>
        <w:spacing w:before="0" w:after="0"/>
        <w:ind w:left="0"/>
      </w:pPr>
      <w:r w:rsidRPr="00F715E7">
        <w:rPr>
          <w:sz w:val="26"/>
          <w:szCs w:val="26"/>
        </w:rPr>
        <w:t xml:space="preserve">Considerarlo de otra manera, es decir, </w:t>
      </w:r>
      <w:r w:rsidR="00DF2B20" w:rsidRPr="00F715E7">
        <w:rPr>
          <w:sz w:val="26"/>
          <w:szCs w:val="26"/>
        </w:rPr>
        <w:t>estimar que los congresos</w:t>
      </w:r>
      <w:r w:rsidRPr="00F715E7">
        <w:rPr>
          <w:sz w:val="26"/>
          <w:szCs w:val="26"/>
        </w:rPr>
        <w:t xml:space="preserve"> locales no podría</w:t>
      </w:r>
      <w:r w:rsidR="00DF2B20" w:rsidRPr="00F715E7">
        <w:rPr>
          <w:sz w:val="26"/>
          <w:szCs w:val="26"/>
        </w:rPr>
        <w:t>n</w:t>
      </w:r>
      <w:r w:rsidRPr="00F715E7">
        <w:rPr>
          <w:sz w:val="26"/>
          <w:szCs w:val="26"/>
        </w:rPr>
        <w:t xml:space="preserve"> modifica</w:t>
      </w:r>
      <w:r w:rsidR="00DF2B20" w:rsidRPr="00F715E7">
        <w:rPr>
          <w:sz w:val="26"/>
          <w:szCs w:val="26"/>
        </w:rPr>
        <w:t>r</w:t>
      </w:r>
      <w:r w:rsidRPr="00F715E7">
        <w:rPr>
          <w:sz w:val="26"/>
          <w:szCs w:val="26"/>
        </w:rPr>
        <w:t xml:space="preserve"> </w:t>
      </w:r>
      <w:r w:rsidR="00DF2B20" w:rsidRPr="00F715E7">
        <w:rPr>
          <w:sz w:val="26"/>
          <w:szCs w:val="26"/>
        </w:rPr>
        <w:t xml:space="preserve">las leyes electorales </w:t>
      </w:r>
      <w:r w:rsidRPr="00F715E7">
        <w:rPr>
          <w:sz w:val="26"/>
          <w:szCs w:val="26"/>
        </w:rPr>
        <w:t>mientras no se celebr</w:t>
      </w:r>
      <w:r w:rsidR="00DF2B20" w:rsidRPr="00F715E7">
        <w:rPr>
          <w:sz w:val="26"/>
          <w:szCs w:val="26"/>
        </w:rPr>
        <w:t>en</w:t>
      </w:r>
      <w:r w:rsidRPr="00F715E7">
        <w:rPr>
          <w:sz w:val="26"/>
          <w:szCs w:val="26"/>
        </w:rPr>
        <w:t xml:space="preserve"> todas las posibles elecciones extraordinarias</w:t>
      </w:r>
      <w:r w:rsidR="00DF2B20" w:rsidRPr="00F715E7">
        <w:rPr>
          <w:sz w:val="26"/>
          <w:szCs w:val="26"/>
        </w:rPr>
        <w:t xml:space="preserve"> y se resuelvan los medios de impugnación que </w:t>
      </w:r>
      <w:r w:rsidR="00B76024" w:rsidRPr="00F715E7">
        <w:rPr>
          <w:sz w:val="26"/>
          <w:szCs w:val="26"/>
        </w:rPr>
        <w:t xml:space="preserve">de </w:t>
      </w:r>
      <w:r w:rsidR="00DF2B20" w:rsidRPr="00F715E7">
        <w:rPr>
          <w:sz w:val="26"/>
          <w:szCs w:val="26"/>
        </w:rPr>
        <w:t xml:space="preserve">éstas pudieran </w:t>
      </w:r>
      <w:r w:rsidR="00155EF9" w:rsidRPr="00F715E7">
        <w:rPr>
          <w:sz w:val="26"/>
          <w:szCs w:val="26"/>
        </w:rPr>
        <w:t>derivar</w:t>
      </w:r>
      <w:r w:rsidR="003A20C4" w:rsidRPr="00F715E7">
        <w:rPr>
          <w:sz w:val="26"/>
          <w:szCs w:val="26"/>
        </w:rPr>
        <w:t>,</w:t>
      </w:r>
      <w:r w:rsidR="00DF2B20" w:rsidRPr="00F715E7">
        <w:rPr>
          <w:sz w:val="26"/>
          <w:szCs w:val="26"/>
        </w:rPr>
        <w:t xml:space="preserve"> vulneraría </w:t>
      </w:r>
      <w:r w:rsidR="00941D1D" w:rsidRPr="00F715E7">
        <w:rPr>
          <w:sz w:val="26"/>
          <w:szCs w:val="26"/>
        </w:rPr>
        <w:t xml:space="preserve">gravemente </w:t>
      </w:r>
      <w:r w:rsidRPr="00F715E7">
        <w:rPr>
          <w:sz w:val="26"/>
          <w:szCs w:val="26"/>
        </w:rPr>
        <w:t>la</w:t>
      </w:r>
      <w:r w:rsidR="00941D1D" w:rsidRPr="00F715E7">
        <w:rPr>
          <w:sz w:val="26"/>
          <w:szCs w:val="26"/>
        </w:rPr>
        <w:t>s</w:t>
      </w:r>
      <w:r w:rsidRPr="00F715E7">
        <w:rPr>
          <w:sz w:val="26"/>
          <w:szCs w:val="26"/>
        </w:rPr>
        <w:t xml:space="preserve"> facultad</w:t>
      </w:r>
      <w:r w:rsidR="00941D1D" w:rsidRPr="00F715E7">
        <w:rPr>
          <w:sz w:val="26"/>
          <w:szCs w:val="26"/>
        </w:rPr>
        <w:t>es</w:t>
      </w:r>
      <w:r w:rsidRPr="00F715E7">
        <w:rPr>
          <w:sz w:val="26"/>
          <w:szCs w:val="26"/>
        </w:rPr>
        <w:t xml:space="preserve"> de las legislaturas estatales</w:t>
      </w:r>
      <w:r w:rsidR="00941D1D" w:rsidRPr="00F715E7">
        <w:rPr>
          <w:sz w:val="26"/>
          <w:szCs w:val="26"/>
        </w:rPr>
        <w:t xml:space="preserve"> en la materia</w:t>
      </w:r>
      <w:r w:rsidR="003A20C4" w:rsidRPr="00F715E7">
        <w:rPr>
          <w:sz w:val="26"/>
          <w:szCs w:val="26"/>
        </w:rPr>
        <w:t>.</w:t>
      </w:r>
      <w:r w:rsidR="00941D1D" w:rsidRPr="00F715E7">
        <w:rPr>
          <w:sz w:val="26"/>
          <w:szCs w:val="26"/>
        </w:rPr>
        <w:t xml:space="preserve"> </w:t>
      </w:r>
      <w:r w:rsidR="003A20C4" w:rsidRPr="00F715E7">
        <w:rPr>
          <w:sz w:val="26"/>
          <w:szCs w:val="26"/>
        </w:rPr>
        <w:t>C</w:t>
      </w:r>
      <w:r w:rsidR="00941D1D" w:rsidRPr="00F715E7">
        <w:rPr>
          <w:sz w:val="26"/>
          <w:szCs w:val="26"/>
        </w:rPr>
        <w:t xml:space="preserve">omo en el caso, la </w:t>
      </w:r>
      <w:r w:rsidRPr="00F715E7">
        <w:rPr>
          <w:sz w:val="26"/>
          <w:szCs w:val="26"/>
        </w:rPr>
        <w:t xml:space="preserve">de hacer efectiva la </w:t>
      </w:r>
      <w:r w:rsidR="00941D1D" w:rsidRPr="00F715E7">
        <w:rPr>
          <w:sz w:val="26"/>
          <w:szCs w:val="26"/>
        </w:rPr>
        <w:t xml:space="preserve">reserva </w:t>
      </w:r>
      <w:r w:rsidRPr="00F715E7">
        <w:rPr>
          <w:sz w:val="26"/>
          <w:szCs w:val="26"/>
        </w:rPr>
        <w:t>que le</w:t>
      </w:r>
      <w:r w:rsidR="001858E8" w:rsidRPr="00F715E7">
        <w:rPr>
          <w:sz w:val="26"/>
          <w:szCs w:val="26"/>
        </w:rPr>
        <w:t>s</w:t>
      </w:r>
      <w:r w:rsidRPr="00F715E7">
        <w:rPr>
          <w:sz w:val="26"/>
          <w:szCs w:val="26"/>
        </w:rPr>
        <w:t xml:space="preserve"> concede el artículo </w:t>
      </w:r>
      <w:r w:rsidR="001858E8" w:rsidRPr="00F715E7">
        <w:rPr>
          <w:sz w:val="26"/>
          <w:szCs w:val="26"/>
        </w:rPr>
        <w:t>52, punto 2, de la Ley General de Partidos Políticos, para establecer las reglas para el otorgamiento del financiamiento público estatal para los partidos políticos nacionales</w:t>
      </w:r>
      <w:r w:rsidR="00B97B10" w:rsidRPr="00F715E7">
        <w:rPr>
          <w:sz w:val="26"/>
          <w:szCs w:val="26"/>
        </w:rPr>
        <w:t xml:space="preserve">; ya que en </w:t>
      </w:r>
      <w:r w:rsidR="009C2C69" w:rsidRPr="00F715E7">
        <w:rPr>
          <w:sz w:val="26"/>
          <w:szCs w:val="26"/>
        </w:rPr>
        <w:t xml:space="preserve">muchas </w:t>
      </w:r>
      <w:r w:rsidR="00B97B10" w:rsidRPr="00F715E7">
        <w:rPr>
          <w:sz w:val="26"/>
          <w:szCs w:val="26"/>
        </w:rPr>
        <w:t xml:space="preserve">ocasiones el desarrollo de las </w:t>
      </w:r>
      <w:r w:rsidR="00155EF9" w:rsidRPr="00F715E7">
        <w:rPr>
          <w:sz w:val="26"/>
          <w:szCs w:val="26"/>
        </w:rPr>
        <w:t xml:space="preserve">posibles </w:t>
      </w:r>
      <w:r w:rsidR="00B97B10" w:rsidRPr="00F715E7">
        <w:rPr>
          <w:sz w:val="26"/>
          <w:szCs w:val="26"/>
        </w:rPr>
        <w:t xml:space="preserve">elecciones extraordinarias </w:t>
      </w:r>
      <w:r w:rsidR="000A46F7" w:rsidRPr="00F715E7">
        <w:rPr>
          <w:sz w:val="26"/>
          <w:szCs w:val="26"/>
        </w:rPr>
        <w:t>toma un amplio lapso de tiempo</w:t>
      </w:r>
      <w:r w:rsidR="00B76024" w:rsidRPr="00F715E7">
        <w:rPr>
          <w:sz w:val="26"/>
          <w:szCs w:val="26"/>
        </w:rPr>
        <w:t xml:space="preserve"> o en </w:t>
      </w:r>
      <w:r w:rsidR="00155EF9" w:rsidRPr="00F715E7">
        <w:rPr>
          <w:sz w:val="26"/>
          <w:szCs w:val="26"/>
        </w:rPr>
        <w:t>algunos</w:t>
      </w:r>
      <w:r w:rsidR="00B76024" w:rsidRPr="00F715E7">
        <w:rPr>
          <w:sz w:val="26"/>
          <w:szCs w:val="26"/>
        </w:rPr>
        <w:t xml:space="preserve"> casos, ésta</w:t>
      </w:r>
      <w:r w:rsidR="00AE136A" w:rsidRPr="00F715E7">
        <w:rPr>
          <w:sz w:val="26"/>
          <w:szCs w:val="26"/>
        </w:rPr>
        <w:t>s</w:t>
      </w:r>
      <w:r w:rsidR="00B76024" w:rsidRPr="00F715E7">
        <w:rPr>
          <w:sz w:val="26"/>
          <w:szCs w:val="26"/>
        </w:rPr>
        <w:t xml:space="preserve"> no logran celebrarse debido a diversas circunstancias </w:t>
      </w:r>
      <w:r w:rsidR="00446975" w:rsidRPr="00F715E7">
        <w:rPr>
          <w:sz w:val="26"/>
          <w:szCs w:val="26"/>
        </w:rPr>
        <w:t>políticas y de seguridad adversas.</w:t>
      </w:r>
    </w:p>
    <w:p w14:paraId="332574C1" w14:textId="77777777" w:rsidR="00587686" w:rsidRPr="00F715E7" w:rsidRDefault="00587686" w:rsidP="0098787A">
      <w:pPr>
        <w:pStyle w:val="Estilo1"/>
        <w:numPr>
          <w:ilvl w:val="0"/>
          <w:numId w:val="0"/>
        </w:numPr>
        <w:tabs>
          <w:tab w:val="left" w:pos="567"/>
        </w:tabs>
        <w:spacing w:before="0" w:after="0"/>
        <w:rPr>
          <w:sz w:val="26"/>
          <w:szCs w:val="26"/>
        </w:rPr>
      </w:pPr>
    </w:p>
    <w:p w14:paraId="240D771E" w14:textId="16E661DE" w:rsidR="00972E50" w:rsidRPr="00F715E7" w:rsidRDefault="00972E50" w:rsidP="0098787A">
      <w:pPr>
        <w:pStyle w:val="Estilo1"/>
        <w:numPr>
          <w:ilvl w:val="0"/>
          <w:numId w:val="6"/>
        </w:numPr>
        <w:tabs>
          <w:tab w:val="left" w:pos="567"/>
        </w:tabs>
        <w:spacing w:before="0" w:after="0"/>
        <w:ind w:left="0"/>
        <w:rPr>
          <w:sz w:val="26"/>
          <w:szCs w:val="26"/>
        </w:rPr>
      </w:pPr>
      <w:r w:rsidRPr="00F715E7">
        <w:rPr>
          <w:sz w:val="26"/>
          <w:szCs w:val="26"/>
        </w:rPr>
        <w:t>Así,</w:t>
      </w:r>
      <w:r w:rsidR="00E16C12" w:rsidRPr="00F715E7">
        <w:rPr>
          <w:sz w:val="26"/>
          <w:szCs w:val="26"/>
        </w:rPr>
        <w:t xml:space="preserve"> si bien</w:t>
      </w:r>
      <w:r w:rsidR="009459BC" w:rsidRPr="00F715E7">
        <w:rPr>
          <w:sz w:val="26"/>
          <w:szCs w:val="26"/>
        </w:rPr>
        <w:t xml:space="preserve"> </w:t>
      </w:r>
      <w:r w:rsidR="00587686" w:rsidRPr="00F715E7">
        <w:rPr>
          <w:sz w:val="26"/>
          <w:szCs w:val="26"/>
        </w:rPr>
        <w:t>no puede desvincularse el desarrollo de un</w:t>
      </w:r>
      <w:r w:rsidR="00E16C12" w:rsidRPr="00F715E7">
        <w:rPr>
          <w:sz w:val="26"/>
          <w:szCs w:val="26"/>
        </w:rPr>
        <w:t xml:space="preserve"> proceso</w:t>
      </w:r>
      <w:r w:rsidR="00587686" w:rsidRPr="00F715E7">
        <w:rPr>
          <w:sz w:val="26"/>
          <w:szCs w:val="26"/>
        </w:rPr>
        <w:t xml:space="preserve"> ordinari</w:t>
      </w:r>
      <w:r w:rsidR="00E16C12" w:rsidRPr="00F715E7">
        <w:rPr>
          <w:sz w:val="26"/>
          <w:szCs w:val="26"/>
        </w:rPr>
        <w:t>o</w:t>
      </w:r>
      <w:r w:rsidR="00587686" w:rsidRPr="00F715E7">
        <w:rPr>
          <w:sz w:val="26"/>
          <w:szCs w:val="26"/>
        </w:rPr>
        <w:t xml:space="preserve"> con una </w:t>
      </w:r>
      <w:r w:rsidR="00E16C12" w:rsidRPr="00F715E7">
        <w:rPr>
          <w:sz w:val="26"/>
          <w:szCs w:val="26"/>
        </w:rPr>
        <w:t xml:space="preserve">elección </w:t>
      </w:r>
      <w:r w:rsidR="00587686" w:rsidRPr="00F715E7">
        <w:rPr>
          <w:sz w:val="26"/>
          <w:szCs w:val="26"/>
        </w:rPr>
        <w:t>extraordinaria</w:t>
      </w:r>
      <w:r w:rsidR="001C36E7" w:rsidRPr="00F715E7">
        <w:rPr>
          <w:sz w:val="26"/>
          <w:szCs w:val="26"/>
        </w:rPr>
        <w:t>, puesto que deben aplicar las mismas reglas</w:t>
      </w:r>
      <w:r w:rsidR="00587686" w:rsidRPr="00F715E7">
        <w:rPr>
          <w:sz w:val="26"/>
          <w:szCs w:val="26"/>
        </w:rPr>
        <w:t xml:space="preserve">, </w:t>
      </w:r>
      <w:r w:rsidR="00555627" w:rsidRPr="00F715E7">
        <w:rPr>
          <w:sz w:val="26"/>
          <w:szCs w:val="26"/>
        </w:rPr>
        <w:t xml:space="preserve">ello no significa que </w:t>
      </w:r>
      <w:r w:rsidRPr="00F715E7">
        <w:rPr>
          <w:sz w:val="26"/>
          <w:szCs w:val="26"/>
        </w:rPr>
        <w:t>para efectos de la prohibición establecida en el numeral 105 constitucional, las elecciones extraordinarias se deban entender como una continuación del proceso electoral ordinario.</w:t>
      </w:r>
    </w:p>
    <w:p w14:paraId="6C0E2B00" w14:textId="77777777" w:rsidR="00442F59" w:rsidRPr="00F715E7" w:rsidRDefault="00442F59" w:rsidP="009459BC">
      <w:pPr>
        <w:pStyle w:val="Estilo1"/>
        <w:numPr>
          <w:ilvl w:val="0"/>
          <w:numId w:val="0"/>
        </w:numPr>
        <w:tabs>
          <w:tab w:val="left" w:pos="567"/>
        </w:tabs>
        <w:spacing w:before="0" w:after="0"/>
        <w:rPr>
          <w:sz w:val="26"/>
          <w:szCs w:val="26"/>
        </w:rPr>
      </w:pPr>
    </w:p>
    <w:p w14:paraId="55BB91D9" w14:textId="22917828" w:rsidR="00DB45E4" w:rsidRPr="00F715E7" w:rsidRDefault="004071F6" w:rsidP="0098787A">
      <w:pPr>
        <w:pStyle w:val="Estilo1"/>
        <w:numPr>
          <w:ilvl w:val="0"/>
          <w:numId w:val="6"/>
        </w:numPr>
        <w:tabs>
          <w:tab w:val="left" w:pos="567"/>
        </w:tabs>
        <w:spacing w:before="0" w:after="0"/>
        <w:ind w:left="0"/>
        <w:rPr>
          <w:sz w:val="26"/>
          <w:szCs w:val="26"/>
        </w:rPr>
      </w:pPr>
      <w:r w:rsidRPr="00F715E7">
        <w:rPr>
          <w:sz w:val="26"/>
          <w:szCs w:val="26"/>
        </w:rPr>
        <w:t>En ese sentido, est</w:t>
      </w:r>
      <w:r w:rsidR="009459BC" w:rsidRPr="00F715E7">
        <w:rPr>
          <w:sz w:val="26"/>
          <w:szCs w:val="26"/>
        </w:rPr>
        <w:t>e Máximo Tribunal</w:t>
      </w:r>
      <w:r w:rsidRPr="00F715E7">
        <w:rPr>
          <w:sz w:val="26"/>
          <w:szCs w:val="26"/>
        </w:rPr>
        <w:t xml:space="preserve">, al analizar el elemento del proceso al que las reglas electorales impugnadas deban ser aplicadas, </w:t>
      </w:r>
      <w:r w:rsidR="00602D21" w:rsidRPr="00F715E7">
        <w:rPr>
          <w:sz w:val="26"/>
          <w:szCs w:val="26"/>
        </w:rPr>
        <w:t xml:space="preserve">debe considerar </w:t>
      </w:r>
      <w:r w:rsidR="00442F59" w:rsidRPr="00F715E7">
        <w:rPr>
          <w:sz w:val="26"/>
          <w:szCs w:val="26"/>
        </w:rPr>
        <w:t>en forma particular las circunstancias del caso</w:t>
      </w:r>
      <w:r w:rsidR="00603770" w:rsidRPr="00F715E7">
        <w:rPr>
          <w:sz w:val="26"/>
          <w:szCs w:val="26"/>
        </w:rPr>
        <w:t>,</w:t>
      </w:r>
      <w:r w:rsidR="00442F59" w:rsidRPr="00F715E7">
        <w:rPr>
          <w:sz w:val="26"/>
          <w:szCs w:val="26"/>
        </w:rPr>
        <w:t xml:space="preserve"> buscando salvaguardar la finalidad de la veda, a saber, la certeza</w:t>
      </w:r>
      <w:r w:rsidR="00603770" w:rsidRPr="00F715E7">
        <w:rPr>
          <w:sz w:val="26"/>
          <w:szCs w:val="26"/>
        </w:rPr>
        <w:t>, pero sin vulnerar las facultades de las legislaturas estatales.</w:t>
      </w:r>
    </w:p>
    <w:bookmarkEnd w:id="20"/>
    <w:p w14:paraId="153368AD" w14:textId="77777777" w:rsidR="0056135E" w:rsidRPr="00F715E7" w:rsidRDefault="0056135E" w:rsidP="003F2550">
      <w:pPr>
        <w:pStyle w:val="Prrafodelista"/>
        <w:spacing w:before="0" w:after="0" w:line="360" w:lineRule="auto"/>
        <w:rPr>
          <w:b/>
          <w:sz w:val="26"/>
          <w:szCs w:val="26"/>
        </w:rPr>
      </w:pPr>
    </w:p>
    <w:p w14:paraId="7043828C" w14:textId="026A726D" w:rsidR="0056135E" w:rsidRPr="00F715E7" w:rsidRDefault="0056135E" w:rsidP="003F2550">
      <w:pPr>
        <w:pStyle w:val="Estilo1"/>
        <w:numPr>
          <w:ilvl w:val="0"/>
          <w:numId w:val="6"/>
        </w:numPr>
        <w:tabs>
          <w:tab w:val="left" w:pos="567"/>
        </w:tabs>
        <w:spacing w:before="0" w:after="0"/>
        <w:ind w:left="0"/>
        <w:rPr>
          <w:b/>
          <w:sz w:val="26"/>
          <w:szCs w:val="26"/>
        </w:rPr>
      </w:pPr>
      <w:r w:rsidRPr="00F715E7">
        <w:rPr>
          <w:bCs/>
          <w:sz w:val="26"/>
          <w:szCs w:val="26"/>
        </w:rPr>
        <w:t xml:space="preserve">En </w:t>
      </w:r>
      <w:r w:rsidRPr="00F715E7">
        <w:rPr>
          <w:sz w:val="26"/>
          <w:szCs w:val="26"/>
        </w:rPr>
        <w:t>consecuencia</w:t>
      </w:r>
      <w:r w:rsidRPr="00F715E7">
        <w:rPr>
          <w:bCs/>
          <w:sz w:val="26"/>
          <w:szCs w:val="26"/>
        </w:rPr>
        <w:t xml:space="preserve">, resulta innecesario determinar si, como lo señalan los partidos accionantes, la reforma en análisis </w:t>
      </w:r>
      <w:r w:rsidR="006B1F06" w:rsidRPr="00F715E7">
        <w:rPr>
          <w:bCs/>
          <w:sz w:val="26"/>
          <w:szCs w:val="26"/>
        </w:rPr>
        <w:t xml:space="preserve">constituye una modificación fundamental, </w:t>
      </w:r>
      <w:r w:rsidRPr="00F715E7">
        <w:rPr>
          <w:bCs/>
          <w:sz w:val="26"/>
          <w:szCs w:val="26"/>
        </w:rPr>
        <w:t xml:space="preserve">pues como se ha expresado, el concepto de invalidez resulta </w:t>
      </w:r>
      <w:r w:rsidRPr="00F715E7">
        <w:rPr>
          <w:b/>
          <w:sz w:val="26"/>
          <w:szCs w:val="26"/>
        </w:rPr>
        <w:t>infundado</w:t>
      </w:r>
      <w:r w:rsidRPr="00F715E7">
        <w:rPr>
          <w:bCs/>
          <w:sz w:val="26"/>
          <w:szCs w:val="26"/>
        </w:rPr>
        <w:t xml:space="preserve"> en tanto que el </w:t>
      </w:r>
      <w:r w:rsidR="006B1F06" w:rsidRPr="00F715E7">
        <w:rPr>
          <w:sz w:val="26"/>
          <w:szCs w:val="26"/>
        </w:rPr>
        <w:t xml:space="preserve">Decreto número 2, publicado el veintiocho de diciembre de dos mil veintiuno en la Gaceta Oficial del Estado de Veracruz de Ignacio de la Llave </w:t>
      </w:r>
      <w:r w:rsidRPr="00F715E7">
        <w:rPr>
          <w:b/>
          <w:sz w:val="26"/>
          <w:szCs w:val="26"/>
        </w:rPr>
        <w:t xml:space="preserve">no </w:t>
      </w:r>
      <w:r w:rsidR="00CD2F52" w:rsidRPr="00F715E7">
        <w:rPr>
          <w:b/>
          <w:sz w:val="26"/>
          <w:szCs w:val="26"/>
        </w:rPr>
        <w:t xml:space="preserve">debe </w:t>
      </w:r>
      <w:r w:rsidRPr="00F715E7">
        <w:rPr>
          <w:b/>
          <w:sz w:val="26"/>
          <w:szCs w:val="26"/>
        </w:rPr>
        <w:t>repercuti</w:t>
      </w:r>
      <w:r w:rsidR="00CD2F52" w:rsidRPr="00F715E7">
        <w:rPr>
          <w:b/>
          <w:sz w:val="26"/>
          <w:szCs w:val="26"/>
        </w:rPr>
        <w:t>r</w:t>
      </w:r>
      <w:r w:rsidRPr="00F715E7">
        <w:rPr>
          <w:b/>
          <w:sz w:val="26"/>
          <w:szCs w:val="26"/>
        </w:rPr>
        <w:t xml:space="preserve"> ni aplica</w:t>
      </w:r>
      <w:r w:rsidR="00CD2F52" w:rsidRPr="00F715E7">
        <w:rPr>
          <w:b/>
          <w:sz w:val="26"/>
          <w:szCs w:val="26"/>
        </w:rPr>
        <w:t>rse</w:t>
      </w:r>
      <w:r w:rsidRPr="00F715E7">
        <w:rPr>
          <w:bCs/>
          <w:sz w:val="26"/>
          <w:szCs w:val="26"/>
        </w:rPr>
        <w:t xml:space="preserve"> en el proceso electoral 2020-2021 y, en consecuencia, no se actualiza una violación a lo dispuesto en el artículo 105, fracción II, párrafo penúltimo</w:t>
      </w:r>
      <w:r w:rsidR="00CB62E4">
        <w:rPr>
          <w:bCs/>
          <w:sz w:val="26"/>
          <w:szCs w:val="26"/>
        </w:rPr>
        <w:t>,</w:t>
      </w:r>
      <w:r w:rsidRPr="00F715E7">
        <w:rPr>
          <w:bCs/>
          <w:sz w:val="26"/>
          <w:szCs w:val="26"/>
        </w:rPr>
        <w:t xml:space="preserve"> de la Constitución </w:t>
      </w:r>
      <w:r w:rsidR="00D37EDC">
        <w:rPr>
          <w:bCs/>
          <w:sz w:val="26"/>
          <w:szCs w:val="26"/>
        </w:rPr>
        <w:t>F</w:t>
      </w:r>
      <w:r w:rsidRPr="00F715E7">
        <w:rPr>
          <w:bCs/>
          <w:sz w:val="26"/>
          <w:szCs w:val="26"/>
        </w:rPr>
        <w:t>ederal.</w:t>
      </w:r>
      <w:r w:rsidR="00AE136A" w:rsidRPr="00F715E7">
        <w:rPr>
          <w:rStyle w:val="Refdenotaalpie"/>
          <w:bCs/>
          <w:sz w:val="26"/>
          <w:szCs w:val="26"/>
        </w:rPr>
        <w:footnoteReference w:id="45"/>
      </w:r>
      <w:r w:rsidRPr="00F715E7">
        <w:rPr>
          <w:bCs/>
          <w:sz w:val="26"/>
          <w:szCs w:val="26"/>
        </w:rPr>
        <w:t xml:space="preserve"> </w:t>
      </w:r>
    </w:p>
    <w:p w14:paraId="74822868" w14:textId="77777777" w:rsidR="00621415" w:rsidRPr="00F715E7" w:rsidRDefault="00621415" w:rsidP="0098787A">
      <w:pPr>
        <w:pStyle w:val="Estilo1"/>
        <w:numPr>
          <w:ilvl w:val="0"/>
          <w:numId w:val="0"/>
        </w:numPr>
        <w:tabs>
          <w:tab w:val="left" w:pos="567"/>
        </w:tabs>
        <w:spacing w:before="0" w:after="0"/>
        <w:rPr>
          <w:b/>
          <w:sz w:val="26"/>
          <w:szCs w:val="26"/>
        </w:rPr>
      </w:pPr>
    </w:p>
    <w:p w14:paraId="2D41EFF9" w14:textId="650B575F" w:rsidR="005740D8" w:rsidRPr="00F715E7" w:rsidRDefault="00D55741" w:rsidP="005740D8">
      <w:pPr>
        <w:pStyle w:val="Estilo1"/>
        <w:numPr>
          <w:ilvl w:val="0"/>
          <w:numId w:val="6"/>
        </w:numPr>
        <w:tabs>
          <w:tab w:val="left" w:pos="567"/>
        </w:tabs>
        <w:spacing w:before="0" w:after="0"/>
        <w:ind w:left="0"/>
        <w:rPr>
          <w:b/>
          <w:bCs/>
          <w:sz w:val="26"/>
          <w:szCs w:val="26"/>
        </w:rPr>
      </w:pPr>
      <w:r w:rsidRPr="00F715E7">
        <w:rPr>
          <w:sz w:val="26"/>
          <w:szCs w:val="26"/>
        </w:rPr>
        <w:t>Finalmente</w:t>
      </w:r>
      <w:r w:rsidR="00621415" w:rsidRPr="00F715E7">
        <w:rPr>
          <w:sz w:val="26"/>
          <w:szCs w:val="26"/>
        </w:rPr>
        <w:t xml:space="preserve">, </w:t>
      </w:r>
      <w:r w:rsidR="005740D8" w:rsidRPr="00F715E7">
        <w:rPr>
          <w:sz w:val="26"/>
          <w:szCs w:val="26"/>
        </w:rPr>
        <w:t xml:space="preserve">en lo que respecta a lo señalado por </w:t>
      </w:r>
      <w:r w:rsidR="00621415" w:rsidRPr="00F715E7">
        <w:rPr>
          <w:sz w:val="26"/>
          <w:szCs w:val="26"/>
        </w:rPr>
        <w:t xml:space="preserve">los </w:t>
      </w:r>
      <w:r w:rsidR="005740D8" w:rsidRPr="00F715E7">
        <w:rPr>
          <w:sz w:val="26"/>
          <w:szCs w:val="26"/>
        </w:rPr>
        <w:t xml:space="preserve">partidos </w:t>
      </w:r>
      <w:r w:rsidR="00D01100" w:rsidRPr="00F715E7">
        <w:rPr>
          <w:sz w:val="26"/>
          <w:szCs w:val="26"/>
        </w:rPr>
        <w:t xml:space="preserve">políticos </w:t>
      </w:r>
      <w:r w:rsidR="005740D8" w:rsidRPr="00F715E7">
        <w:rPr>
          <w:sz w:val="26"/>
          <w:szCs w:val="26"/>
        </w:rPr>
        <w:t>accionantes, en el sentido de</w:t>
      </w:r>
      <w:r w:rsidR="00D01100" w:rsidRPr="00F715E7">
        <w:rPr>
          <w:sz w:val="26"/>
          <w:szCs w:val="26"/>
        </w:rPr>
        <w:t xml:space="preserve"> que</w:t>
      </w:r>
      <w:r w:rsidR="00621415" w:rsidRPr="00F715E7">
        <w:rPr>
          <w:sz w:val="26"/>
          <w:szCs w:val="26"/>
        </w:rPr>
        <w:t xml:space="preserve"> el Congreso del Estado de Veracruz no cumplió con uno de los efectos de la sentencia emitida en la </w:t>
      </w:r>
      <w:r w:rsidR="00CB62E4">
        <w:rPr>
          <w:sz w:val="26"/>
          <w:szCs w:val="26"/>
        </w:rPr>
        <w:t>a</w:t>
      </w:r>
      <w:r w:rsidR="00621415" w:rsidRPr="00F715E7">
        <w:rPr>
          <w:sz w:val="26"/>
          <w:szCs w:val="26"/>
        </w:rPr>
        <w:t xml:space="preserve">cción de </w:t>
      </w:r>
      <w:r w:rsidR="00CB62E4">
        <w:rPr>
          <w:sz w:val="26"/>
          <w:szCs w:val="26"/>
        </w:rPr>
        <w:t>i</w:t>
      </w:r>
      <w:r w:rsidR="00621415" w:rsidRPr="00F715E7">
        <w:rPr>
          <w:sz w:val="26"/>
          <w:szCs w:val="26"/>
        </w:rPr>
        <w:t xml:space="preserve">nconstitucionalidad </w:t>
      </w:r>
      <w:r w:rsidR="00621415" w:rsidRPr="00F715E7">
        <w:rPr>
          <w:b/>
          <w:bCs/>
          <w:sz w:val="26"/>
          <w:szCs w:val="26"/>
        </w:rPr>
        <w:t>241/2020</w:t>
      </w:r>
      <w:r w:rsidR="00621415" w:rsidRPr="00F715E7">
        <w:rPr>
          <w:sz w:val="26"/>
          <w:szCs w:val="26"/>
        </w:rPr>
        <w:t xml:space="preserve"> y sus acumuladas</w:t>
      </w:r>
      <w:r w:rsidR="00CB62E4">
        <w:rPr>
          <w:sz w:val="26"/>
          <w:szCs w:val="26"/>
        </w:rPr>
        <w:t xml:space="preserve"> </w:t>
      </w:r>
      <w:r w:rsidR="00CB62E4" w:rsidRPr="00F715E7">
        <w:rPr>
          <w:sz w:val="26"/>
          <w:szCs w:val="26"/>
          <w:lang w:val="es-ES_tradnl"/>
        </w:rPr>
        <w:t>242/2020</w:t>
      </w:r>
      <w:r w:rsidR="00CB62E4" w:rsidRPr="00F715E7">
        <w:rPr>
          <w:bCs/>
          <w:sz w:val="26"/>
          <w:szCs w:val="26"/>
          <w:lang w:val="es-ES_tradnl"/>
        </w:rPr>
        <w:t xml:space="preserve">, </w:t>
      </w:r>
      <w:r w:rsidR="00CB62E4" w:rsidRPr="00F715E7">
        <w:rPr>
          <w:sz w:val="26"/>
          <w:szCs w:val="26"/>
          <w:lang w:val="es-ES_tradnl"/>
        </w:rPr>
        <w:t>243/2020</w:t>
      </w:r>
      <w:r w:rsidR="00CB62E4" w:rsidRPr="00F715E7">
        <w:rPr>
          <w:bCs/>
          <w:sz w:val="26"/>
          <w:szCs w:val="26"/>
          <w:lang w:val="es-ES_tradnl"/>
        </w:rPr>
        <w:t xml:space="preserve">, </w:t>
      </w:r>
      <w:r w:rsidR="00CB62E4" w:rsidRPr="00F715E7">
        <w:rPr>
          <w:sz w:val="26"/>
          <w:szCs w:val="26"/>
          <w:lang w:val="es-ES_tradnl"/>
        </w:rPr>
        <w:t>248/2020</w:t>
      </w:r>
      <w:r w:rsidR="00CB62E4" w:rsidRPr="00F715E7">
        <w:rPr>
          <w:bCs/>
          <w:sz w:val="26"/>
          <w:szCs w:val="26"/>
          <w:lang w:val="es-ES_tradnl"/>
        </w:rPr>
        <w:t xml:space="preserve"> y </w:t>
      </w:r>
      <w:r w:rsidR="00CB62E4" w:rsidRPr="00F715E7">
        <w:rPr>
          <w:sz w:val="26"/>
          <w:szCs w:val="26"/>
          <w:lang w:val="es-ES_tradnl"/>
        </w:rPr>
        <w:t>251/2020</w:t>
      </w:r>
      <w:r w:rsidR="00621415" w:rsidRPr="00F715E7">
        <w:rPr>
          <w:sz w:val="26"/>
          <w:szCs w:val="26"/>
        </w:rPr>
        <w:t>,</w:t>
      </w:r>
      <w:r w:rsidR="00621415" w:rsidRPr="00F715E7">
        <w:rPr>
          <w:rStyle w:val="Refdenotaalpie"/>
          <w:sz w:val="26"/>
          <w:szCs w:val="26"/>
        </w:rPr>
        <w:footnoteReference w:id="46"/>
      </w:r>
      <w:r w:rsidR="00621415" w:rsidRPr="00F715E7">
        <w:rPr>
          <w:sz w:val="26"/>
          <w:szCs w:val="26"/>
        </w:rPr>
        <w:t xml:space="preserve"> consistente en la restricción contenida en el referido artículo 105, fracción II, penúltimo párrafo, de la Constitución Federal</w:t>
      </w:r>
      <w:r w:rsidR="005740D8" w:rsidRPr="00F715E7">
        <w:rPr>
          <w:sz w:val="26"/>
          <w:szCs w:val="26"/>
        </w:rPr>
        <w:t>, se considera que</w:t>
      </w:r>
      <w:r w:rsidR="00621415" w:rsidRPr="00F715E7">
        <w:rPr>
          <w:sz w:val="26"/>
          <w:szCs w:val="26"/>
        </w:rPr>
        <w:t xml:space="preserve"> </w:t>
      </w:r>
      <w:r w:rsidR="00D01100" w:rsidRPr="00F715E7">
        <w:rPr>
          <w:sz w:val="26"/>
          <w:szCs w:val="26"/>
        </w:rPr>
        <w:t>dicho a</w:t>
      </w:r>
      <w:r w:rsidR="00E166E0" w:rsidRPr="00F715E7">
        <w:rPr>
          <w:sz w:val="26"/>
          <w:szCs w:val="26"/>
        </w:rPr>
        <w:t>rgumento resulta</w:t>
      </w:r>
      <w:r w:rsidR="00621415" w:rsidRPr="00F715E7">
        <w:rPr>
          <w:sz w:val="26"/>
          <w:szCs w:val="26"/>
        </w:rPr>
        <w:t xml:space="preserve"> </w:t>
      </w:r>
      <w:r w:rsidR="00621415" w:rsidRPr="00F715E7">
        <w:rPr>
          <w:b/>
          <w:bCs/>
          <w:sz w:val="26"/>
          <w:szCs w:val="26"/>
        </w:rPr>
        <w:t>infundado</w:t>
      </w:r>
      <w:r w:rsidR="005740D8" w:rsidRPr="00F715E7">
        <w:rPr>
          <w:b/>
          <w:bCs/>
          <w:sz w:val="26"/>
          <w:szCs w:val="26"/>
        </w:rPr>
        <w:t>.</w:t>
      </w:r>
    </w:p>
    <w:p w14:paraId="5D7B35E8" w14:textId="77777777" w:rsidR="005740D8" w:rsidRPr="00F715E7" w:rsidRDefault="005740D8" w:rsidP="001E1EF8">
      <w:pPr>
        <w:pStyle w:val="Estilo1"/>
        <w:numPr>
          <w:ilvl w:val="0"/>
          <w:numId w:val="0"/>
        </w:numPr>
        <w:tabs>
          <w:tab w:val="left" w:pos="567"/>
        </w:tabs>
        <w:spacing w:before="0" w:after="0"/>
        <w:rPr>
          <w:b/>
          <w:bCs/>
          <w:sz w:val="26"/>
          <w:szCs w:val="26"/>
        </w:rPr>
      </w:pPr>
    </w:p>
    <w:p w14:paraId="3ACDE7E9" w14:textId="6EC8D3AD" w:rsidR="00621415" w:rsidRPr="00F715E7" w:rsidRDefault="005740D8" w:rsidP="005740D8">
      <w:pPr>
        <w:pStyle w:val="Estilo1"/>
        <w:numPr>
          <w:ilvl w:val="0"/>
          <w:numId w:val="6"/>
        </w:numPr>
        <w:tabs>
          <w:tab w:val="left" w:pos="567"/>
        </w:tabs>
        <w:spacing w:before="0" w:after="0"/>
        <w:ind w:left="0"/>
        <w:rPr>
          <w:b/>
          <w:bCs/>
          <w:sz w:val="26"/>
          <w:szCs w:val="26"/>
        </w:rPr>
      </w:pPr>
      <w:r w:rsidRPr="00F715E7">
        <w:rPr>
          <w:sz w:val="26"/>
          <w:szCs w:val="26"/>
        </w:rPr>
        <w:lastRenderedPageBreak/>
        <w:t>Ello, pues</w:t>
      </w:r>
      <w:r w:rsidR="0065720F" w:rsidRPr="00F715E7">
        <w:rPr>
          <w:sz w:val="26"/>
          <w:szCs w:val="26"/>
        </w:rPr>
        <w:t xml:space="preserve"> </w:t>
      </w:r>
      <w:r w:rsidR="006E6DA4" w:rsidRPr="00F715E7">
        <w:rPr>
          <w:sz w:val="26"/>
          <w:szCs w:val="26"/>
        </w:rPr>
        <w:t xml:space="preserve">independientemente de que la vía para impugnar la falta de cumplimiento de una ejecutoria no es la que aquí tramitan, lo cierto es que </w:t>
      </w:r>
      <w:r w:rsidR="00621415" w:rsidRPr="00F715E7">
        <w:rPr>
          <w:sz w:val="26"/>
          <w:szCs w:val="26"/>
        </w:rPr>
        <w:t xml:space="preserve">la prohibición </w:t>
      </w:r>
      <w:r w:rsidR="006E6DA4" w:rsidRPr="00F715E7">
        <w:rPr>
          <w:sz w:val="26"/>
          <w:szCs w:val="26"/>
        </w:rPr>
        <w:t xml:space="preserve">a que hacen referencia </w:t>
      </w:r>
      <w:r w:rsidR="00621415" w:rsidRPr="00F715E7">
        <w:rPr>
          <w:sz w:val="26"/>
          <w:szCs w:val="26"/>
        </w:rPr>
        <w:t xml:space="preserve">de no modificar la normativa electoral noventa días antes del inicio de un proceso electoral y durante su transcurso, </w:t>
      </w:r>
      <w:r w:rsidR="00621415" w:rsidRPr="00F715E7">
        <w:rPr>
          <w:b/>
          <w:bCs/>
          <w:sz w:val="26"/>
          <w:szCs w:val="26"/>
        </w:rPr>
        <w:t xml:space="preserve">no constituye un efecto particular de </w:t>
      </w:r>
      <w:r w:rsidR="006E6DA4" w:rsidRPr="00F715E7">
        <w:rPr>
          <w:b/>
          <w:bCs/>
          <w:sz w:val="26"/>
          <w:szCs w:val="26"/>
        </w:rPr>
        <w:t>una sentencia</w:t>
      </w:r>
      <w:r w:rsidR="00621415" w:rsidRPr="00F715E7">
        <w:rPr>
          <w:sz w:val="26"/>
          <w:szCs w:val="26"/>
        </w:rPr>
        <w:t xml:space="preserve">, sino en todo caso, una referencia a una prohibición </w:t>
      </w:r>
      <w:r w:rsidR="00621415" w:rsidRPr="00F715E7">
        <w:rPr>
          <w:i/>
          <w:iCs/>
          <w:sz w:val="26"/>
          <w:szCs w:val="26"/>
        </w:rPr>
        <w:t>ex ante</w:t>
      </w:r>
      <w:r w:rsidR="00621415" w:rsidRPr="00F715E7">
        <w:rPr>
          <w:sz w:val="26"/>
          <w:szCs w:val="26"/>
        </w:rPr>
        <w:t xml:space="preserve"> de entidad constitucional.</w:t>
      </w:r>
    </w:p>
    <w:p w14:paraId="54A514B3" w14:textId="77777777" w:rsidR="00E166E0" w:rsidRPr="00F715E7" w:rsidRDefault="00E166E0" w:rsidP="0098787A">
      <w:pPr>
        <w:pStyle w:val="Estilo1"/>
        <w:numPr>
          <w:ilvl w:val="0"/>
          <w:numId w:val="0"/>
        </w:numPr>
        <w:tabs>
          <w:tab w:val="left" w:pos="567"/>
        </w:tabs>
        <w:spacing w:before="0" w:after="0"/>
        <w:rPr>
          <w:b/>
          <w:bCs/>
          <w:sz w:val="26"/>
          <w:szCs w:val="26"/>
        </w:rPr>
      </w:pPr>
    </w:p>
    <w:p w14:paraId="46EE0D5D" w14:textId="5DC8D170" w:rsidR="00B143D2" w:rsidRPr="00F715E7" w:rsidRDefault="00621415" w:rsidP="0098787A">
      <w:pPr>
        <w:pStyle w:val="Estilo1"/>
        <w:numPr>
          <w:ilvl w:val="0"/>
          <w:numId w:val="6"/>
        </w:numPr>
        <w:tabs>
          <w:tab w:val="left" w:pos="567"/>
        </w:tabs>
        <w:spacing w:before="0" w:after="0"/>
        <w:ind w:left="0"/>
        <w:rPr>
          <w:sz w:val="26"/>
          <w:szCs w:val="26"/>
        </w:rPr>
      </w:pPr>
      <w:r w:rsidRPr="00F715E7">
        <w:rPr>
          <w:sz w:val="26"/>
          <w:szCs w:val="26"/>
        </w:rPr>
        <w:t xml:space="preserve">En efecto, la prohibición constitucional establecida en el artículo 105, fracción II, penúltimo párrafo, de la Constitución Federal no es un efecto propio de la sentencia, pues </w:t>
      </w:r>
      <w:r w:rsidRPr="00F715E7">
        <w:rPr>
          <w:b/>
          <w:bCs/>
          <w:sz w:val="26"/>
          <w:szCs w:val="26"/>
        </w:rPr>
        <w:t>no deriva de sus consideraciones, es decir, no se ocupa sobre la materia de la invalidez ahí decretada</w:t>
      </w:r>
      <w:r w:rsidRPr="00F715E7">
        <w:rPr>
          <w:sz w:val="26"/>
          <w:szCs w:val="26"/>
        </w:rPr>
        <w:t xml:space="preserve">, sino </w:t>
      </w:r>
      <w:r w:rsidR="00E166E0" w:rsidRPr="00F715E7">
        <w:rPr>
          <w:sz w:val="26"/>
          <w:szCs w:val="26"/>
        </w:rPr>
        <w:t xml:space="preserve">que constituye </w:t>
      </w:r>
      <w:r w:rsidRPr="00F715E7">
        <w:rPr>
          <w:sz w:val="26"/>
          <w:szCs w:val="26"/>
        </w:rPr>
        <w:t>una regla general en materia electoral que, por voluntad expresa del Constituyente Permanente, tiene como vía especial para su tramitación (en caso de una posible vulneración) la acción de inconstitucionalidad prevista en el citado numeral constitucional.</w:t>
      </w:r>
    </w:p>
    <w:p w14:paraId="7C17925F" w14:textId="77777777" w:rsidR="00B143D2" w:rsidRPr="00F715E7" w:rsidRDefault="00B143D2" w:rsidP="0098787A">
      <w:pPr>
        <w:pStyle w:val="Estilo1"/>
        <w:numPr>
          <w:ilvl w:val="0"/>
          <w:numId w:val="0"/>
        </w:numPr>
        <w:tabs>
          <w:tab w:val="left" w:pos="567"/>
        </w:tabs>
        <w:spacing w:before="0" w:after="0"/>
        <w:rPr>
          <w:sz w:val="26"/>
          <w:szCs w:val="26"/>
        </w:rPr>
      </w:pPr>
    </w:p>
    <w:p w14:paraId="6E4084F0" w14:textId="7DAB3CA7" w:rsidR="00A0628A" w:rsidRPr="00F715E7" w:rsidRDefault="00A0628A" w:rsidP="00A0628A">
      <w:pPr>
        <w:pStyle w:val="Estilo1"/>
        <w:numPr>
          <w:ilvl w:val="0"/>
          <w:numId w:val="6"/>
        </w:numPr>
        <w:spacing w:before="0" w:after="0"/>
        <w:ind w:left="0"/>
        <w:rPr>
          <w:sz w:val="26"/>
          <w:szCs w:val="26"/>
        </w:rPr>
      </w:pPr>
      <w:r w:rsidRPr="00F715E7">
        <w:rPr>
          <w:sz w:val="26"/>
          <w:szCs w:val="26"/>
        </w:rPr>
        <w:t>Estas consideraciones son vinculantes al haberse aprobado por mayoría de diez votos.</w:t>
      </w:r>
    </w:p>
    <w:p w14:paraId="01C4CC2F" w14:textId="77777777" w:rsidR="00D23BCC" w:rsidRPr="00F715E7" w:rsidRDefault="00D23BCC" w:rsidP="0098787A">
      <w:pPr>
        <w:pStyle w:val="Estilo1"/>
        <w:numPr>
          <w:ilvl w:val="0"/>
          <w:numId w:val="0"/>
        </w:numPr>
        <w:tabs>
          <w:tab w:val="left" w:pos="567"/>
        </w:tabs>
        <w:spacing w:before="0" w:after="0"/>
        <w:rPr>
          <w:sz w:val="26"/>
          <w:szCs w:val="26"/>
        </w:rPr>
      </w:pPr>
    </w:p>
    <w:p w14:paraId="1C49C10F" w14:textId="46699D06" w:rsidR="00B143D2" w:rsidRPr="00F715E7" w:rsidRDefault="00E408CA" w:rsidP="0098787A">
      <w:pPr>
        <w:spacing w:before="0" w:after="0"/>
        <w:rPr>
          <w:b/>
          <w:bCs/>
          <w:sz w:val="26"/>
          <w:szCs w:val="26"/>
          <w:lang w:val="es-ES_tradnl"/>
        </w:rPr>
      </w:pPr>
      <w:r w:rsidRPr="00F715E7">
        <w:rPr>
          <w:b/>
          <w:bCs/>
          <w:lang w:val="es-ES_tradnl"/>
        </w:rPr>
        <w:t>VI.</w:t>
      </w:r>
      <w:r w:rsidR="002A2681" w:rsidRPr="00F715E7">
        <w:rPr>
          <w:b/>
          <w:bCs/>
          <w:lang w:val="es-ES_tradnl"/>
        </w:rPr>
        <w:t>3</w:t>
      </w:r>
      <w:r w:rsidR="0008786C" w:rsidRPr="00F715E7">
        <w:rPr>
          <w:b/>
          <w:bCs/>
          <w:lang w:val="es-ES_tradnl"/>
        </w:rPr>
        <w:t xml:space="preserve">. </w:t>
      </w:r>
      <w:r w:rsidR="0008786C" w:rsidRPr="00F715E7">
        <w:rPr>
          <w:b/>
          <w:bCs/>
          <w:sz w:val="26"/>
          <w:szCs w:val="26"/>
          <w:lang w:val="es-ES_tradnl"/>
        </w:rPr>
        <w:t>Financiamiento público local de los partidos políticos nacionales.</w:t>
      </w:r>
    </w:p>
    <w:p w14:paraId="5CB9CE30" w14:textId="77777777" w:rsidR="00B143D2" w:rsidRPr="00F715E7" w:rsidRDefault="00B143D2" w:rsidP="0098787A">
      <w:pPr>
        <w:spacing w:before="0" w:after="0"/>
        <w:rPr>
          <w:b/>
          <w:bCs/>
          <w:sz w:val="26"/>
          <w:szCs w:val="26"/>
          <w:lang w:val="es-ES_tradnl"/>
        </w:rPr>
      </w:pPr>
    </w:p>
    <w:p w14:paraId="0D9204D8" w14:textId="6C0FD01B" w:rsidR="005740D8" w:rsidRPr="00F715E7" w:rsidRDefault="005740D8" w:rsidP="0098787A">
      <w:pPr>
        <w:pStyle w:val="Estilo1"/>
        <w:numPr>
          <w:ilvl w:val="0"/>
          <w:numId w:val="6"/>
        </w:numPr>
        <w:tabs>
          <w:tab w:val="left" w:pos="567"/>
        </w:tabs>
        <w:spacing w:before="0" w:after="0"/>
        <w:ind w:left="0"/>
        <w:rPr>
          <w:sz w:val="26"/>
          <w:szCs w:val="26"/>
        </w:rPr>
      </w:pPr>
      <w:bookmarkStart w:id="22" w:name="_Toc34914769"/>
      <w:bookmarkStart w:id="23" w:name="_Toc69888808"/>
      <w:r w:rsidRPr="00F715E7">
        <w:rPr>
          <w:sz w:val="26"/>
          <w:szCs w:val="26"/>
        </w:rPr>
        <w:t xml:space="preserve">En lo que concierne a este último tema objeto de análisis de la presente </w:t>
      </w:r>
      <w:r w:rsidR="00327070">
        <w:rPr>
          <w:sz w:val="26"/>
          <w:szCs w:val="26"/>
        </w:rPr>
        <w:t>a</w:t>
      </w:r>
      <w:r w:rsidRPr="00F715E7">
        <w:rPr>
          <w:sz w:val="26"/>
          <w:szCs w:val="26"/>
        </w:rPr>
        <w:t xml:space="preserve">cción de </w:t>
      </w:r>
      <w:r w:rsidR="00327070">
        <w:rPr>
          <w:sz w:val="26"/>
          <w:szCs w:val="26"/>
        </w:rPr>
        <w:t>i</w:t>
      </w:r>
      <w:r w:rsidRPr="00F715E7">
        <w:rPr>
          <w:sz w:val="26"/>
          <w:szCs w:val="26"/>
        </w:rPr>
        <w:t>nconstitucionalidad,</w:t>
      </w:r>
      <w:r w:rsidR="001D02E0" w:rsidRPr="00F715E7">
        <w:rPr>
          <w:sz w:val="26"/>
          <w:szCs w:val="26"/>
        </w:rPr>
        <w:t xml:space="preserve"> </w:t>
      </w:r>
      <w:r w:rsidR="00BD0FE4" w:rsidRPr="00F715E7">
        <w:rPr>
          <w:sz w:val="26"/>
          <w:szCs w:val="26"/>
        </w:rPr>
        <w:t xml:space="preserve">los </w:t>
      </w:r>
      <w:r w:rsidRPr="00F715E7">
        <w:rPr>
          <w:sz w:val="26"/>
          <w:szCs w:val="26"/>
        </w:rPr>
        <w:t xml:space="preserve">partidos accionantes </w:t>
      </w:r>
      <w:r w:rsidR="00BD0FE4" w:rsidRPr="00F715E7">
        <w:rPr>
          <w:sz w:val="26"/>
          <w:szCs w:val="26"/>
        </w:rPr>
        <w:t xml:space="preserve">coinciden en tildar de inconstitucionalidad </w:t>
      </w:r>
      <w:r w:rsidR="00E36871" w:rsidRPr="00F715E7">
        <w:rPr>
          <w:sz w:val="26"/>
          <w:szCs w:val="26"/>
        </w:rPr>
        <w:t xml:space="preserve">la norma impugnada porque establece un porcentaje de treinta y dos punto cinco (32.5%) en la fórmula para calcular la asignación del financiamiento público local a los partidos políticos nacionales, lo cual </w:t>
      </w:r>
      <w:r w:rsidR="00014647" w:rsidRPr="00F715E7">
        <w:rPr>
          <w:sz w:val="26"/>
          <w:szCs w:val="26"/>
        </w:rPr>
        <w:t xml:space="preserve">consideran que </w:t>
      </w:r>
      <w:r w:rsidR="00E36871" w:rsidRPr="00F715E7">
        <w:rPr>
          <w:sz w:val="26"/>
          <w:szCs w:val="26"/>
        </w:rPr>
        <w:t>es contrario a</w:t>
      </w:r>
      <w:r w:rsidR="00A83C70" w:rsidRPr="00F715E7">
        <w:rPr>
          <w:sz w:val="26"/>
          <w:szCs w:val="26"/>
        </w:rPr>
        <w:t>l sesenta y cinco por ciento (65%)</w:t>
      </w:r>
      <w:r w:rsidR="00E36871" w:rsidRPr="00F715E7">
        <w:rPr>
          <w:sz w:val="26"/>
          <w:szCs w:val="26"/>
        </w:rPr>
        <w:t xml:space="preserve"> establecido </w:t>
      </w:r>
      <w:r w:rsidR="001A5E80" w:rsidRPr="00F715E7">
        <w:rPr>
          <w:sz w:val="26"/>
          <w:szCs w:val="26"/>
        </w:rPr>
        <w:t>en el artículo 41, Base II, de</w:t>
      </w:r>
      <w:r w:rsidR="00E36871" w:rsidRPr="00F715E7">
        <w:rPr>
          <w:sz w:val="26"/>
          <w:szCs w:val="26"/>
        </w:rPr>
        <w:t xml:space="preserve"> la Constitución </w:t>
      </w:r>
      <w:r w:rsidRPr="00F715E7">
        <w:rPr>
          <w:sz w:val="26"/>
          <w:szCs w:val="26"/>
        </w:rPr>
        <w:t>Federal</w:t>
      </w:r>
      <w:r w:rsidR="00C923F8" w:rsidRPr="00F715E7">
        <w:rPr>
          <w:sz w:val="26"/>
          <w:szCs w:val="26"/>
        </w:rPr>
        <w:t xml:space="preserve">, </w:t>
      </w:r>
      <w:r w:rsidRPr="00F715E7">
        <w:rPr>
          <w:sz w:val="26"/>
          <w:szCs w:val="26"/>
        </w:rPr>
        <w:t xml:space="preserve">así como en lo dispuesto </w:t>
      </w:r>
      <w:r w:rsidRPr="00F715E7">
        <w:rPr>
          <w:sz w:val="26"/>
          <w:szCs w:val="26"/>
        </w:rPr>
        <w:lastRenderedPageBreak/>
        <w:t xml:space="preserve">en el </w:t>
      </w:r>
      <w:r w:rsidR="00327070">
        <w:rPr>
          <w:sz w:val="26"/>
          <w:szCs w:val="26"/>
        </w:rPr>
        <w:t>diverso</w:t>
      </w:r>
      <w:r w:rsidR="00A83C70" w:rsidRPr="00F715E7">
        <w:rPr>
          <w:sz w:val="26"/>
          <w:szCs w:val="26"/>
        </w:rPr>
        <w:t xml:space="preserve"> 51 de </w:t>
      </w:r>
      <w:r w:rsidR="00C923F8" w:rsidRPr="00F715E7">
        <w:rPr>
          <w:sz w:val="26"/>
          <w:szCs w:val="26"/>
        </w:rPr>
        <w:t>La Ley General de Partidos Políticos y</w:t>
      </w:r>
      <w:r w:rsidRPr="00F715E7">
        <w:rPr>
          <w:sz w:val="26"/>
          <w:szCs w:val="26"/>
        </w:rPr>
        <w:t>, con base en</w:t>
      </w:r>
      <w:r w:rsidR="00C923F8" w:rsidRPr="00F715E7">
        <w:rPr>
          <w:sz w:val="26"/>
          <w:szCs w:val="26"/>
        </w:rPr>
        <w:t xml:space="preserve"> los precedentes de est</w:t>
      </w:r>
      <w:r w:rsidRPr="00F715E7">
        <w:rPr>
          <w:sz w:val="26"/>
          <w:szCs w:val="26"/>
        </w:rPr>
        <w:t>e Máximo Tribunal</w:t>
      </w:r>
      <w:r w:rsidR="00C923F8" w:rsidRPr="00F715E7">
        <w:rPr>
          <w:sz w:val="26"/>
          <w:szCs w:val="26"/>
        </w:rPr>
        <w:t>.</w:t>
      </w:r>
      <w:r w:rsidR="001A5E80" w:rsidRPr="00F715E7">
        <w:rPr>
          <w:sz w:val="26"/>
          <w:szCs w:val="26"/>
        </w:rPr>
        <w:t xml:space="preserve"> </w:t>
      </w:r>
    </w:p>
    <w:p w14:paraId="39943BE9" w14:textId="77777777" w:rsidR="005740D8" w:rsidRPr="00F715E7" w:rsidRDefault="005740D8" w:rsidP="001E1EF8">
      <w:pPr>
        <w:pStyle w:val="Estilo1"/>
        <w:numPr>
          <w:ilvl w:val="0"/>
          <w:numId w:val="0"/>
        </w:numPr>
        <w:tabs>
          <w:tab w:val="left" w:pos="567"/>
        </w:tabs>
        <w:spacing w:before="0" w:after="0"/>
        <w:rPr>
          <w:sz w:val="26"/>
          <w:szCs w:val="26"/>
        </w:rPr>
      </w:pPr>
    </w:p>
    <w:p w14:paraId="32C0578A" w14:textId="7B09A713" w:rsidR="00306ACC" w:rsidRPr="00F715E7" w:rsidRDefault="001A5E80" w:rsidP="0098787A">
      <w:pPr>
        <w:pStyle w:val="Estilo1"/>
        <w:numPr>
          <w:ilvl w:val="0"/>
          <w:numId w:val="6"/>
        </w:numPr>
        <w:tabs>
          <w:tab w:val="left" w:pos="567"/>
        </w:tabs>
        <w:spacing w:before="0" w:after="0"/>
        <w:ind w:left="0"/>
        <w:rPr>
          <w:sz w:val="26"/>
          <w:szCs w:val="26"/>
        </w:rPr>
      </w:pPr>
      <w:r w:rsidRPr="00F715E7">
        <w:rPr>
          <w:sz w:val="26"/>
          <w:szCs w:val="26"/>
        </w:rPr>
        <w:t>Ello</w:t>
      </w:r>
      <w:r w:rsidR="00A83C70" w:rsidRPr="00F715E7">
        <w:rPr>
          <w:sz w:val="26"/>
          <w:szCs w:val="26"/>
        </w:rPr>
        <w:t xml:space="preserve">, añaden, rompe con el principio de equidad dado que se trata en forma desigual a quienes por ley tienen el mismo carácter </w:t>
      </w:r>
      <w:r w:rsidR="00014647" w:rsidRPr="00F715E7">
        <w:rPr>
          <w:sz w:val="26"/>
          <w:szCs w:val="26"/>
        </w:rPr>
        <w:t>–</w:t>
      </w:r>
      <w:r w:rsidR="00A83C70" w:rsidRPr="00F715E7">
        <w:rPr>
          <w:sz w:val="26"/>
          <w:szCs w:val="26"/>
        </w:rPr>
        <w:t>partidos políticos locales</w:t>
      </w:r>
      <w:r w:rsidR="00014647" w:rsidRPr="00F715E7">
        <w:rPr>
          <w:sz w:val="26"/>
          <w:szCs w:val="26"/>
        </w:rPr>
        <w:t>–</w:t>
      </w:r>
      <w:r w:rsidR="00BC0AF1" w:rsidRPr="00F715E7">
        <w:rPr>
          <w:sz w:val="26"/>
          <w:szCs w:val="26"/>
        </w:rPr>
        <w:t xml:space="preserve"> y, por ende, le está prohibido al legislador local variar la fórmula de asignación de prerrogativas para actividades ordinarias permanentes para los partidos políticos nacionales</w:t>
      </w:r>
      <w:r w:rsidR="00014647" w:rsidRPr="00F715E7">
        <w:rPr>
          <w:sz w:val="26"/>
          <w:szCs w:val="26"/>
        </w:rPr>
        <w:t xml:space="preserve"> y reducirlo</w:t>
      </w:r>
      <w:r w:rsidR="0024633D" w:rsidRPr="00F715E7">
        <w:rPr>
          <w:sz w:val="26"/>
          <w:szCs w:val="26"/>
        </w:rPr>
        <w:t>.</w:t>
      </w:r>
    </w:p>
    <w:p w14:paraId="4F9FEC7A" w14:textId="79F4650B" w:rsidR="00C474EE" w:rsidRPr="00F715E7" w:rsidRDefault="00C474EE" w:rsidP="0098787A">
      <w:pPr>
        <w:pStyle w:val="Estilo1"/>
        <w:numPr>
          <w:ilvl w:val="0"/>
          <w:numId w:val="0"/>
        </w:numPr>
        <w:tabs>
          <w:tab w:val="left" w:pos="567"/>
        </w:tabs>
        <w:spacing w:before="0" w:after="0"/>
        <w:ind w:left="720" w:hanging="360"/>
        <w:jc w:val="center"/>
        <w:rPr>
          <w:b/>
          <w:bCs/>
          <w:sz w:val="26"/>
          <w:szCs w:val="26"/>
        </w:rPr>
      </w:pPr>
    </w:p>
    <w:p w14:paraId="2FD55A6C" w14:textId="26FAABCA" w:rsidR="00B66133" w:rsidRPr="00F715E7" w:rsidRDefault="00B66133" w:rsidP="0098787A">
      <w:pPr>
        <w:pStyle w:val="Estilo1"/>
        <w:numPr>
          <w:ilvl w:val="0"/>
          <w:numId w:val="0"/>
        </w:numPr>
        <w:tabs>
          <w:tab w:val="left" w:pos="567"/>
        </w:tabs>
        <w:spacing w:before="0" w:after="0"/>
        <w:ind w:left="720" w:hanging="360"/>
        <w:jc w:val="center"/>
        <w:rPr>
          <w:b/>
          <w:bCs/>
          <w:sz w:val="26"/>
          <w:szCs w:val="26"/>
        </w:rPr>
      </w:pPr>
    </w:p>
    <w:p w14:paraId="40C43F57" w14:textId="31DACA6A" w:rsidR="00C474EE" w:rsidRPr="00F715E7" w:rsidRDefault="00C474EE" w:rsidP="0098787A">
      <w:pPr>
        <w:pStyle w:val="Estilo1"/>
        <w:numPr>
          <w:ilvl w:val="0"/>
          <w:numId w:val="0"/>
        </w:numPr>
        <w:tabs>
          <w:tab w:val="left" w:pos="567"/>
        </w:tabs>
        <w:spacing w:before="0" w:after="0"/>
        <w:ind w:left="720" w:hanging="360"/>
        <w:jc w:val="center"/>
        <w:rPr>
          <w:b/>
          <w:bCs/>
          <w:sz w:val="26"/>
          <w:szCs w:val="26"/>
        </w:rPr>
      </w:pPr>
      <w:r w:rsidRPr="00F715E7">
        <w:rPr>
          <w:b/>
          <w:bCs/>
          <w:sz w:val="26"/>
          <w:szCs w:val="26"/>
        </w:rPr>
        <w:t>Parámetro de regularidad constitucional</w:t>
      </w:r>
      <w:r w:rsidR="00E51A7A">
        <w:rPr>
          <w:b/>
          <w:bCs/>
          <w:sz w:val="26"/>
          <w:szCs w:val="26"/>
        </w:rPr>
        <w:t>.</w:t>
      </w:r>
    </w:p>
    <w:p w14:paraId="0AFB1637" w14:textId="77777777" w:rsidR="00E65B14" w:rsidRPr="00F715E7" w:rsidRDefault="00E65B14" w:rsidP="0098787A">
      <w:pPr>
        <w:pStyle w:val="Estilo1"/>
        <w:numPr>
          <w:ilvl w:val="0"/>
          <w:numId w:val="0"/>
        </w:numPr>
        <w:tabs>
          <w:tab w:val="left" w:pos="567"/>
        </w:tabs>
        <w:spacing w:before="0" w:after="0"/>
        <w:rPr>
          <w:sz w:val="26"/>
          <w:szCs w:val="26"/>
        </w:rPr>
      </w:pPr>
    </w:p>
    <w:p w14:paraId="769A83BE" w14:textId="44DF9691" w:rsidR="004A1663" w:rsidRPr="00F715E7" w:rsidRDefault="00C474EE" w:rsidP="0098787A">
      <w:pPr>
        <w:pStyle w:val="Estilo1"/>
        <w:numPr>
          <w:ilvl w:val="0"/>
          <w:numId w:val="6"/>
        </w:numPr>
        <w:tabs>
          <w:tab w:val="left" w:pos="567"/>
        </w:tabs>
        <w:spacing w:before="0" w:after="0"/>
        <w:ind w:left="0"/>
        <w:rPr>
          <w:sz w:val="26"/>
          <w:szCs w:val="26"/>
        </w:rPr>
      </w:pPr>
      <w:r w:rsidRPr="00F715E7">
        <w:rPr>
          <w:sz w:val="26"/>
          <w:szCs w:val="26"/>
          <w:lang w:val="es-ES"/>
        </w:rPr>
        <w:t xml:space="preserve">Este </w:t>
      </w:r>
      <w:r w:rsidR="00BB61BD" w:rsidRPr="00F715E7">
        <w:rPr>
          <w:sz w:val="26"/>
          <w:szCs w:val="26"/>
          <w:lang w:val="es-ES"/>
        </w:rPr>
        <w:t xml:space="preserve">Alto Tribunal ha precisado que </w:t>
      </w:r>
      <w:r w:rsidR="00BB61BD" w:rsidRPr="00F715E7">
        <w:rPr>
          <w:sz w:val="26"/>
          <w:szCs w:val="26"/>
          <w:lang w:eastAsia="es-MX"/>
        </w:rPr>
        <w:t>e</w:t>
      </w:r>
      <w:r w:rsidR="00BB61BD" w:rsidRPr="00F715E7">
        <w:rPr>
          <w:sz w:val="26"/>
          <w:szCs w:val="26"/>
        </w:rPr>
        <w:t>l artículo 41, fracción II, párrafo segundo, incisos a), b) y c), de la Constitución Política de los Estados Unidos Mexicanos</w:t>
      </w:r>
      <w:r w:rsidR="00BB61BD" w:rsidRPr="00F715E7">
        <w:rPr>
          <w:sz w:val="26"/>
          <w:szCs w:val="26"/>
          <w:vertAlign w:val="superscript"/>
        </w:rPr>
        <w:footnoteReference w:id="47"/>
      </w:r>
      <w:r w:rsidR="00BB61BD" w:rsidRPr="00F715E7">
        <w:rPr>
          <w:sz w:val="26"/>
          <w:szCs w:val="26"/>
        </w:rPr>
        <w:t xml:space="preserve">, </w:t>
      </w:r>
      <w:r w:rsidR="004A1663" w:rsidRPr="00F715E7">
        <w:rPr>
          <w:sz w:val="26"/>
          <w:szCs w:val="26"/>
        </w:rPr>
        <w:t xml:space="preserve">regula el régimen electoral aplicable a las elecciones federales </w:t>
      </w:r>
      <w:r w:rsidR="004A1663" w:rsidRPr="00F715E7">
        <w:rPr>
          <w:sz w:val="26"/>
          <w:szCs w:val="26"/>
        </w:rPr>
        <w:lastRenderedPageBreak/>
        <w:t>y, en lo que interesa, establece las bases para calcular los montos del financiamiento público que reciben los partidos políticos nacionales para el sostenimiento de sus actividades, así como su distribución en los procesos electorales federales.</w:t>
      </w:r>
    </w:p>
    <w:p w14:paraId="27BF1FFE" w14:textId="77777777" w:rsidR="00E65B14" w:rsidRPr="00F715E7" w:rsidRDefault="00E65B14" w:rsidP="0098787A">
      <w:pPr>
        <w:pStyle w:val="Estilo1"/>
        <w:numPr>
          <w:ilvl w:val="0"/>
          <w:numId w:val="0"/>
        </w:numPr>
        <w:tabs>
          <w:tab w:val="left" w:pos="567"/>
        </w:tabs>
        <w:spacing w:before="0" w:after="0"/>
        <w:rPr>
          <w:sz w:val="26"/>
          <w:szCs w:val="26"/>
        </w:rPr>
      </w:pPr>
    </w:p>
    <w:p w14:paraId="56C2A547" w14:textId="0871F9A5" w:rsidR="00BB61BD" w:rsidRPr="00F715E7" w:rsidRDefault="00E65B14" w:rsidP="0098787A">
      <w:pPr>
        <w:pStyle w:val="Estilo1"/>
        <w:numPr>
          <w:ilvl w:val="0"/>
          <w:numId w:val="6"/>
        </w:numPr>
        <w:tabs>
          <w:tab w:val="left" w:pos="567"/>
        </w:tabs>
        <w:spacing w:before="0" w:after="0"/>
        <w:ind w:left="0"/>
        <w:rPr>
          <w:sz w:val="26"/>
          <w:szCs w:val="26"/>
        </w:rPr>
      </w:pPr>
      <w:r w:rsidRPr="00F715E7">
        <w:rPr>
          <w:sz w:val="26"/>
          <w:szCs w:val="26"/>
        </w:rPr>
        <w:t xml:space="preserve">Por </w:t>
      </w:r>
      <w:r w:rsidR="00BB61BD" w:rsidRPr="00F715E7">
        <w:rPr>
          <w:sz w:val="26"/>
          <w:szCs w:val="26"/>
        </w:rPr>
        <w:t xml:space="preserve">su </w:t>
      </w:r>
      <w:r w:rsidR="00BB61BD" w:rsidRPr="00F715E7">
        <w:rPr>
          <w:sz w:val="26"/>
          <w:szCs w:val="26"/>
          <w:lang w:val="es-ES"/>
        </w:rPr>
        <w:t>parte</w:t>
      </w:r>
      <w:r w:rsidR="00BB61BD" w:rsidRPr="00F715E7">
        <w:rPr>
          <w:sz w:val="26"/>
          <w:szCs w:val="26"/>
        </w:rPr>
        <w:t>, el artículo 116, fracción IV, inciso g), de la Constitución Política de los Estados Unidos Mexicanos</w:t>
      </w:r>
      <w:r w:rsidR="00BB61BD" w:rsidRPr="00F715E7">
        <w:rPr>
          <w:sz w:val="26"/>
          <w:szCs w:val="26"/>
          <w:vertAlign w:val="superscript"/>
        </w:rPr>
        <w:footnoteReference w:id="48"/>
      </w:r>
      <w:r w:rsidR="00BB61BD" w:rsidRPr="00F715E7">
        <w:rPr>
          <w:sz w:val="26"/>
          <w:szCs w:val="26"/>
        </w:rPr>
        <w:t xml:space="preserve"> –que establece el régimen relativo a las elecciones locales– prevé que, de conformidad con las bases establecidas en la propia Constitución Federal y en las leyes generales en la materia, la legislación estatal electoral debe garantizar que los partidos políticos reciban equitativa</w:t>
      </w:r>
      <w:r w:rsidR="0073683B" w:rsidRPr="00F715E7">
        <w:rPr>
          <w:sz w:val="26"/>
          <w:szCs w:val="26"/>
        </w:rPr>
        <w:t xml:space="preserve">mente </w:t>
      </w:r>
      <w:r w:rsidR="00BB61BD" w:rsidRPr="00F715E7">
        <w:rPr>
          <w:sz w:val="26"/>
          <w:szCs w:val="26"/>
        </w:rPr>
        <w:t xml:space="preserve"> financiamiento público para sus actividades ordinarias permanentes, así como las tend</w:t>
      </w:r>
      <w:r w:rsidR="004D22B4" w:rsidRPr="00F715E7">
        <w:rPr>
          <w:sz w:val="26"/>
          <w:szCs w:val="26"/>
        </w:rPr>
        <w:t>i</w:t>
      </w:r>
      <w:r w:rsidR="00BB61BD" w:rsidRPr="00F715E7">
        <w:rPr>
          <w:sz w:val="26"/>
          <w:szCs w:val="26"/>
        </w:rPr>
        <w:t>entes a la obtención del voto durante los procesos electorales.</w:t>
      </w:r>
    </w:p>
    <w:p w14:paraId="26638C0D" w14:textId="77777777" w:rsidR="00E65B14" w:rsidRPr="00F715E7" w:rsidRDefault="00E65B14" w:rsidP="0098787A">
      <w:pPr>
        <w:pStyle w:val="Estilo1"/>
        <w:numPr>
          <w:ilvl w:val="0"/>
          <w:numId w:val="0"/>
        </w:numPr>
        <w:tabs>
          <w:tab w:val="left" w:pos="567"/>
        </w:tabs>
        <w:spacing w:before="0" w:after="0"/>
        <w:rPr>
          <w:sz w:val="26"/>
          <w:szCs w:val="26"/>
        </w:rPr>
      </w:pPr>
    </w:p>
    <w:p w14:paraId="6A9A5A96" w14:textId="3C5B7AD0" w:rsidR="00D23BCC" w:rsidRPr="00F715E7" w:rsidRDefault="00BB61BD" w:rsidP="0098787A">
      <w:pPr>
        <w:pStyle w:val="Estilo1"/>
        <w:numPr>
          <w:ilvl w:val="0"/>
          <w:numId w:val="6"/>
        </w:numPr>
        <w:tabs>
          <w:tab w:val="left" w:pos="567"/>
        </w:tabs>
        <w:spacing w:before="0" w:after="0"/>
        <w:ind w:left="0"/>
        <w:rPr>
          <w:sz w:val="26"/>
          <w:szCs w:val="26"/>
        </w:rPr>
      </w:pPr>
      <w:r w:rsidRPr="00F715E7">
        <w:rPr>
          <w:sz w:val="26"/>
          <w:szCs w:val="26"/>
        </w:rPr>
        <w:lastRenderedPageBreak/>
        <w:t xml:space="preserve">En esa lógica, y </w:t>
      </w:r>
      <w:r w:rsidR="008F5B77" w:rsidRPr="00F715E7">
        <w:rPr>
          <w:sz w:val="26"/>
          <w:szCs w:val="26"/>
        </w:rPr>
        <w:t xml:space="preserve">mediante el </w:t>
      </w:r>
      <w:r w:rsidRPr="00F715E7">
        <w:rPr>
          <w:sz w:val="26"/>
          <w:szCs w:val="26"/>
        </w:rPr>
        <w:t>Decreto publicado en el Diario Oficial de la Federación el veintitrés de mayo de dos mil catorce, se expidió la Ley General de Partidos Políticos, la cual tuvo su fundamento en el artículo 73, fracción XXIX-U, de la Constitución Federal</w:t>
      </w:r>
      <w:r w:rsidR="00D23BCC" w:rsidRPr="00F715E7">
        <w:rPr>
          <w:sz w:val="26"/>
          <w:szCs w:val="26"/>
        </w:rPr>
        <w:t>.</w:t>
      </w:r>
      <w:r w:rsidRPr="00F715E7">
        <w:rPr>
          <w:sz w:val="26"/>
          <w:szCs w:val="26"/>
          <w:vertAlign w:val="superscript"/>
        </w:rPr>
        <w:footnoteReference w:id="49"/>
      </w:r>
      <w:r w:rsidR="0073683B" w:rsidRPr="00F715E7">
        <w:rPr>
          <w:sz w:val="26"/>
          <w:szCs w:val="26"/>
        </w:rPr>
        <w:t xml:space="preserve"> </w:t>
      </w:r>
    </w:p>
    <w:p w14:paraId="3E922727" w14:textId="77777777" w:rsidR="00D23BCC" w:rsidRPr="00F715E7" w:rsidRDefault="00D23BCC" w:rsidP="001E1EF8">
      <w:pPr>
        <w:pStyle w:val="Prrafodelista"/>
        <w:rPr>
          <w:sz w:val="26"/>
          <w:szCs w:val="26"/>
        </w:rPr>
      </w:pPr>
    </w:p>
    <w:p w14:paraId="53DCFFED" w14:textId="7CC61066" w:rsidR="00D55A50" w:rsidRPr="00F715E7" w:rsidRDefault="00D23BCC" w:rsidP="0098787A">
      <w:pPr>
        <w:pStyle w:val="Estilo1"/>
        <w:numPr>
          <w:ilvl w:val="0"/>
          <w:numId w:val="6"/>
        </w:numPr>
        <w:tabs>
          <w:tab w:val="left" w:pos="567"/>
        </w:tabs>
        <w:spacing w:before="0" w:after="0"/>
        <w:ind w:left="0"/>
        <w:rPr>
          <w:sz w:val="26"/>
          <w:szCs w:val="26"/>
        </w:rPr>
      </w:pPr>
      <w:r w:rsidRPr="00F715E7">
        <w:rPr>
          <w:sz w:val="26"/>
          <w:szCs w:val="26"/>
        </w:rPr>
        <w:t>La Constitución Federal</w:t>
      </w:r>
      <w:r w:rsidR="00BB61BD" w:rsidRPr="00F715E7">
        <w:rPr>
          <w:sz w:val="26"/>
          <w:szCs w:val="26"/>
        </w:rPr>
        <w:t xml:space="preserve"> otorg</w:t>
      </w:r>
      <w:r w:rsidRPr="00F715E7">
        <w:rPr>
          <w:sz w:val="26"/>
          <w:szCs w:val="26"/>
        </w:rPr>
        <w:t>a</w:t>
      </w:r>
      <w:r w:rsidR="00BB61BD" w:rsidRPr="00F715E7">
        <w:rPr>
          <w:sz w:val="26"/>
          <w:szCs w:val="26"/>
        </w:rPr>
        <w:t xml:space="preserve"> competencia al Congreso de la Unión para expedir las leyes generales que distribuyeran competencias entre la Federación y las entidades federativas</w:t>
      </w:r>
      <w:r w:rsidR="008F5B77" w:rsidRPr="00F715E7">
        <w:rPr>
          <w:sz w:val="26"/>
          <w:szCs w:val="26"/>
        </w:rPr>
        <w:t>,</w:t>
      </w:r>
      <w:r w:rsidR="00BB61BD" w:rsidRPr="00F715E7">
        <w:rPr>
          <w:sz w:val="26"/>
          <w:szCs w:val="26"/>
        </w:rPr>
        <w:t xml:space="preserve"> en materia</w:t>
      </w:r>
      <w:r w:rsidR="008F5B77" w:rsidRPr="00F715E7">
        <w:rPr>
          <w:sz w:val="26"/>
          <w:szCs w:val="26"/>
        </w:rPr>
        <w:t xml:space="preserve"> que involucre a</w:t>
      </w:r>
      <w:r w:rsidR="00BB61BD" w:rsidRPr="00F715E7">
        <w:rPr>
          <w:sz w:val="26"/>
          <w:szCs w:val="26"/>
        </w:rPr>
        <w:t xml:space="preserve"> partidos políticos, </w:t>
      </w:r>
      <w:proofErr w:type="gramStart"/>
      <w:r w:rsidR="00BB61BD" w:rsidRPr="00F715E7">
        <w:rPr>
          <w:sz w:val="26"/>
          <w:szCs w:val="26"/>
        </w:rPr>
        <w:t>organismos electorales y procesos electorales</w:t>
      </w:r>
      <w:proofErr w:type="gramEnd"/>
      <w:r w:rsidR="008F5B77" w:rsidRPr="00F715E7">
        <w:rPr>
          <w:sz w:val="26"/>
          <w:szCs w:val="26"/>
        </w:rPr>
        <w:t>;</w:t>
      </w:r>
      <w:r w:rsidR="00BB61BD" w:rsidRPr="00F715E7">
        <w:rPr>
          <w:sz w:val="26"/>
          <w:szCs w:val="26"/>
        </w:rPr>
        <w:t xml:space="preserve"> conforme a las bases de la propia Constitución Política </w:t>
      </w:r>
      <w:r w:rsidR="008F5B77" w:rsidRPr="00F715E7">
        <w:rPr>
          <w:sz w:val="26"/>
          <w:szCs w:val="26"/>
        </w:rPr>
        <w:t>Federal</w:t>
      </w:r>
      <w:r w:rsidR="00BB61BD" w:rsidRPr="00F715E7">
        <w:rPr>
          <w:sz w:val="26"/>
          <w:szCs w:val="26"/>
        </w:rPr>
        <w:t>.</w:t>
      </w:r>
    </w:p>
    <w:p w14:paraId="29CFD525" w14:textId="77777777" w:rsidR="00E65B14" w:rsidRPr="00F715E7" w:rsidRDefault="00E65B14" w:rsidP="0098787A">
      <w:pPr>
        <w:pStyle w:val="Estilo1"/>
        <w:numPr>
          <w:ilvl w:val="0"/>
          <w:numId w:val="0"/>
        </w:numPr>
        <w:tabs>
          <w:tab w:val="left" w:pos="567"/>
        </w:tabs>
        <w:spacing w:before="0" w:after="0"/>
        <w:rPr>
          <w:sz w:val="26"/>
          <w:szCs w:val="26"/>
        </w:rPr>
      </w:pPr>
    </w:p>
    <w:p w14:paraId="2D810A4C" w14:textId="4C7F1929" w:rsidR="0043227B" w:rsidRPr="00F715E7" w:rsidRDefault="00D55A50" w:rsidP="0098787A">
      <w:pPr>
        <w:pStyle w:val="Estilo1"/>
        <w:numPr>
          <w:ilvl w:val="0"/>
          <w:numId w:val="6"/>
        </w:numPr>
        <w:tabs>
          <w:tab w:val="left" w:pos="567"/>
        </w:tabs>
        <w:spacing w:before="0" w:after="0"/>
        <w:ind w:left="0"/>
        <w:rPr>
          <w:sz w:val="26"/>
          <w:szCs w:val="26"/>
        </w:rPr>
      </w:pPr>
      <w:r w:rsidRPr="00F715E7">
        <w:rPr>
          <w:sz w:val="26"/>
          <w:szCs w:val="26"/>
        </w:rPr>
        <w:t>La Ley General de Partidos Políticos es de orden público y de observancia general en el territorio nacional y tiene por objeto regular las disposiciones constitucionales aplicables a los partidos políticos nacionales y locales, así como distribuir competencias entre la Federación y las entidades federativas en materias como las prerrogativas de los partidos políticos</w:t>
      </w:r>
      <w:r w:rsidR="00E65B14" w:rsidRPr="00F715E7">
        <w:rPr>
          <w:sz w:val="26"/>
          <w:szCs w:val="26"/>
        </w:rPr>
        <w:t>;</w:t>
      </w:r>
      <w:r w:rsidRPr="00F715E7">
        <w:rPr>
          <w:vertAlign w:val="superscript"/>
        </w:rPr>
        <w:footnoteReference w:id="50"/>
      </w:r>
      <w:r w:rsidR="00E65B14" w:rsidRPr="00F715E7">
        <w:rPr>
          <w:sz w:val="26"/>
          <w:szCs w:val="26"/>
          <w:vertAlign w:val="superscript"/>
        </w:rPr>
        <w:t xml:space="preserve"> </w:t>
      </w:r>
      <w:r w:rsidRPr="00F715E7">
        <w:rPr>
          <w:sz w:val="26"/>
          <w:szCs w:val="26"/>
        </w:rPr>
        <w:t xml:space="preserve">y en sus artículos 23 y 26 se precisa que son derechos de los partidos políticos </w:t>
      </w:r>
      <w:r w:rsidR="004F1F63" w:rsidRPr="00F715E7">
        <w:rPr>
          <w:sz w:val="26"/>
          <w:szCs w:val="26"/>
        </w:rPr>
        <w:t>–</w:t>
      </w:r>
      <w:r w:rsidRPr="00F715E7">
        <w:rPr>
          <w:sz w:val="26"/>
          <w:szCs w:val="26"/>
        </w:rPr>
        <w:t>nacionales y locales</w:t>
      </w:r>
      <w:r w:rsidR="004F1F63" w:rsidRPr="00F715E7">
        <w:rPr>
          <w:sz w:val="26"/>
          <w:szCs w:val="26"/>
        </w:rPr>
        <w:t>–</w:t>
      </w:r>
      <w:r w:rsidRPr="00F715E7">
        <w:rPr>
          <w:sz w:val="26"/>
          <w:szCs w:val="26"/>
        </w:rPr>
        <w:t xml:space="preserve"> acceder a las prerrogativas y recibir el financiamiento </w:t>
      </w:r>
      <w:r w:rsidRPr="00F715E7">
        <w:rPr>
          <w:sz w:val="26"/>
          <w:szCs w:val="26"/>
        </w:rPr>
        <w:lastRenderedPageBreak/>
        <w:t xml:space="preserve">público en los términos del diverso 41 de la Constitución Federal, la propia Ley General en comento y las demás leyes federales o locales </w:t>
      </w:r>
      <w:r w:rsidR="0043227B" w:rsidRPr="00F715E7">
        <w:rPr>
          <w:sz w:val="26"/>
          <w:szCs w:val="26"/>
        </w:rPr>
        <w:t>aplicables</w:t>
      </w:r>
      <w:r w:rsidR="00E65B14" w:rsidRPr="00F715E7">
        <w:rPr>
          <w:sz w:val="26"/>
          <w:szCs w:val="26"/>
        </w:rPr>
        <w:t>.</w:t>
      </w:r>
      <w:r w:rsidR="0043227B" w:rsidRPr="00F715E7">
        <w:rPr>
          <w:sz w:val="26"/>
          <w:szCs w:val="26"/>
          <w:vertAlign w:val="superscript"/>
        </w:rPr>
        <w:footnoteReference w:id="51"/>
      </w:r>
    </w:p>
    <w:p w14:paraId="19773FE9" w14:textId="77777777" w:rsidR="00E65B14" w:rsidRPr="00F715E7" w:rsidRDefault="00E65B14" w:rsidP="0098787A">
      <w:pPr>
        <w:pStyle w:val="Estilo1"/>
        <w:numPr>
          <w:ilvl w:val="0"/>
          <w:numId w:val="0"/>
        </w:numPr>
        <w:tabs>
          <w:tab w:val="left" w:pos="567"/>
        </w:tabs>
        <w:spacing w:before="0" w:after="0"/>
        <w:rPr>
          <w:sz w:val="26"/>
          <w:szCs w:val="26"/>
        </w:rPr>
      </w:pPr>
    </w:p>
    <w:p w14:paraId="39F2BF1F" w14:textId="63A59997" w:rsidR="00F91D36" w:rsidRPr="00F715E7" w:rsidRDefault="00D55A50" w:rsidP="0098787A">
      <w:pPr>
        <w:pStyle w:val="Estilo1"/>
        <w:numPr>
          <w:ilvl w:val="0"/>
          <w:numId w:val="6"/>
        </w:numPr>
        <w:tabs>
          <w:tab w:val="left" w:pos="567"/>
        </w:tabs>
        <w:spacing w:before="0" w:after="0"/>
        <w:ind w:left="0"/>
        <w:rPr>
          <w:sz w:val="26"/>
          <w:szCs w:val="26"/>
        </w:rPr>
      </w:pPr>
      <w:r w:rsidRPr="00F715E7">
        <w:rPr>
          <w:sz w:val="26"/>
          <w:szCs w:val="26"/>
        </w:rPr>
        <w:t>Específicamente en el artículo 50 de la citada Ley General de Partidos Políticos se establece que los partidos políticos</w:t>
      </w:r>
      <w:r w:rsidR="0073683B" w:rsidRPr="00F715E7">
        <w:rPr>
          <w:sz w:val="26"/>
          <w:szCs w:val="26"/>
        </w:rPr>
        <w:t xml:space="preserve"> –</w:t>
      </w:r>
      <w:r w:rsidRPr="00F715E7">
        <w:rPr>
          <w:sz w:val="26"/>
          <w:szCs w:val="26"/>
        </w:rPr>
        <w:t>nacionales y locales</w:t>
      </w:r>
      <w:r w:rsidR="0073683B" w:rsidRPr="00F715E7">
        <w:rPr>
          <w:sz w:val="26"/>
          <w:szCs w:val="26"/>
        </w:rPr>
        <w:t xml:space="preserve">– </w:t>
      </w:r>
      <w:r w:rsidRPr="00F715E7">
        <w:rPr>
          <w:sz w:val="26"/>
          <w:szCs w:val="26"/>
        </w:rPr>
        <w:t>tienen derecho a recibir financiamiento público para desarrollar sus actividades, que se distribuirá de manera equitativa conforme a lo establecido en el artículo 41, Base II, de la Constitución</w:t>
      </w:r>
      <w:r w:rsidR="00014647" w:rsidRPr="00F715E7">
        <w:rPr>
          <w:sz w:val="26"/>
          <w:szCs w:val="26"/>
        </w:rPr>
        <w:t xml:space="preserve"> </w:t>
      </w:r>
      <w:r w:rsidR="004B31DC">
        <w:rPr>
          <w:sz w:val="26"/>
          <w:szCs w:val="26"/>
        </w:rPr>
        <w:t>F</w:t>
      </w:r>
      <w:r w:rsidR="00014647" w:rsidRPr="00F715E7">
        <w:rPr>
          <w:sz w:val="26"/>
          <w:szCs w:val="26"/>
        </w:rPr>
        <w:t>ederal</w:t>
      </w:r>
      <w:r w:rsidRPr="00F715E7">
        <w:rPr>
          <w:sz w:val="26"/>
          <w:szCs w:val="26"/>
        </w:rPr>
        <w:t xml:space="preserve"> y en las constituciones locales</w:t>
      </w:r>
      <w:r w:rsidR="00E65B14" w:rsidRPr="00F715E7">
        <w:rPr>
          <w:sz w:val="26"/>
          <w:szCs w:val="26"/>
        </w:rPr>
        <w:t>.</w:t>
      </w:r>
      <w:r w:rsidRPr="00F715E7">
        <w:rPr>
          <w:sz w:val="26"/>
          <w:szCs w:val="26"/>
          <w:vertAlign w:val="superscript"/>
        </w:rPr>
        <w:footnoteReference w:id="52"/>
      </w:r>
    </w:p>
    <w:p w14:paraId="76FEB208" w14:textId="77777777" w:rsidR="00F91D36" w:rsidRPr="00F715E7" w:rsidRDefault="00F91D36" w:rsidP="0098787A">
      <w:pPr>
        <w:pStyle w:val="Estilo1"/>
        <w:numPr>
          <w:ilvl w:val="0"/>
          <w:numId w:val="0"/>
        </w:numPr>
        <w:tabs>
          <w:tab w:val="left" w:pos="567"/>
        </w:tabs>
        <w:spacing w:before="0" w:after="0"/>
        <w:rPr>
          <w:sz w:val="26"/>
          <w:szCs w:val="26"/>
        </w:rPr>
      </w:pPr>
    </w:p>
    <w:p w14:paraId="09E5D3F0" w14:textId="2F7D1A00" w:rsidR="00822496" w:rsidRPr="00F715E7" w:rsidRDefault="0073683B" w:rsidP="0098787A">
      <w:pPr>
        <w:pStyle w:val="Estilo1"/>
        <w:numPr>
          <w:ilvl w:val="0"/>
          <w:numId w:val="6"/>
        </w:numPr>
        <w:tabs>
          <w:tab w:val="left" w:pos="567"/>
        </w:tabs>
        <w:spacing w:before="0" w:after="0"/>
        <w:ind w:left="0"/>
        <w:rPr>
          <w:sz w:val="26"/>
          <w:szCs w:val="26"/>
        </w:rPr>
      </w:pPr>
      <w:r w:rsidRPr="00F715E7">
        <w:rPr>
          <w:sz w:val="26"/>
          <w:szCs w:val="26"/>
        </w:rPr>
        <w:t>Y</w:t>
      </w:r>
      <w:r w:rsidR="00822496" w:rsidRPr="00F715E7">
        <w:rPr>
          <w:sz w:val="26"/>
          <w:szCs w:val="26"/>
        </w:rPr>
        <w:t xml:space="preserve"> en el artículo 51 de la Ley General de Partidos Políticos</w:t>
      </w:r>
      <w:r w:rsidR="00822496" w:rsidRPr="00F715E7">
        <w:rPr>
          <w:sz w:val="26"/>
          <w:szCs w:val="26"/>
          <w:vertAlign w:val="superscript"/>
        </w:rPr>
        <w:footnoteReference w:id="53"/>
      </w:r>
      <w:r w:rsidR="00822496" w:rsidRPr="00F715E7">
        <w:rPr>
          <w:sz w:val="26"/>
          <w:szCs w:val="26"/>
        </w:rPr>
        <w:t xml:space="preserve"> se prevé que los partidos políticos </w:t>
      </w:r>
      <w:r w:rsidRPr="00F715E7">
        <w:rPr>
          <w:sz w:val="26"/>
          <w:szCs w:val="26"/>
        </w:rPr>
        <w:t>–</w:t>
      </w:r>
      <w:r w:rsidR="00822496" w:rsidRPr="00F715E7">
        <w:rPr>
          <w:sz w:val="26"/>
          <w:szCs w:val="26"/>
        </w:rPr>
        <w:t>nacionales y locales</w:t>
      </w:r>
      <w:r w:rsidRPr="00F715E7">
        <w:rPr>
          <w:sz w:val="26"/>
          <w:szCs w:val="26"/>
        </w:rPr>
        <w:t>–</w:t>
      </w:r>
      <w:r w:rsidR="00822496" w:rsidRPr="00F715E7">
        <w:rPr>
          <w:sz w:val="26"/>
          <w:szCs w:val="26"/>
        </w:rPr>
        <w:t xml:space="preserve"> tienen derecho al financiamiento público de sus actividades, estructura, sueldos y salarios.</w:t>
      </w:r>
    </w:p>
    <w:p w14:paraId="0DB6CA3B" w14:textId="77777777" w:rsidR="00D23BCC" w:rsidRPr="00F715E7" w:rsidRDefault="00D23BCC" w:rsidP="001E1EF8">
      <w:pPr>
        <w:pStyle w:val="Prrafodelista"/>
        <w:rPr>
          <w:sz w:val="26"/>
          <w:szCs w:val="26"/>
        </w:rPr>
      </w:pPr>
    </w:p>
    <w:p w14:paraId="07C09D2F" w14:textId="10B34002" w:rsidR="00237C88" w:rsidRPr="00F715E7" w:rsidRDefault="0073683B" w:rsidP="0098787A">
      <w:pPr>
        <w:pStyle w:val="Estilo1"/>
        <w:numPr>
          <w:ilvl w:val="0"/>
          <w:numId w:val="6"/>
        </w:numPr>
        <w:tabs>
          <w:tab w:val="left" w:pos="567"/>
        </w:tabs>
        <w:spacing w:before="0" w:after="0"/>
        <w:ind w:left="0"/>
        <w:rPr>
          <w:sz w:val="26"/>
          <w:szCs w:val="26"/>
        </w:rPr>
      </w:pPr>
      <w:r w:rsidRPr="00F715E7">
        <w:rPr>
          <w:sz w:val="26"/>
          <w:szCs w:val="26"/>
        </w:rPr>
        <w:t>Específicamente</w:t>
      </w:r>
      <w:r w:rsidR="006369FA" w:rsidRPr="00F715E7">
        <w:rPr>
          <w:sz w:val="26"/>
          <w:szCs w:val="26"/>
        </w:rPr>
        <w:t>,</w:t>
      </w:r>
      <w:r w:rsidRPr="00F715E7">
        <w:rPr>
          <w:sz w:val="26"/>
          <w:szCs w:val="26"/>
        </w:rPr>
        <w:t xml:space="preserve"> por cuanto se refiere</w:t>
      </w:r>
      <w:r w:rsidR="00237C88" w:rsidRPr="00F715E7">
        <w:rPr>
          <w:sz w:val="26"/>
          <w:szCs w:val="26"/>
        </w:rPr>
        <w:t xml:space="preserve"> al sostenimiento de sus actividades ordinarias permanentes, en el inciso a), punto 1 de ese artículo 51, se precisa que el Consejo General, en el caso de los partidos políticos nacionales, o el Organismo Público local, en el de los partidos políticos locales, determinará anualmente el monto total por distribuir entre los partidos políticos.</w:t>
      </w:r>
    </w:p>
    <w:p w14:paraId="47AB36E9" w14:textId="77777777" w:rsidR="00B03D7F" w:rsidRPr="00F715E7" w:rsidRDefault="00B03D7F" w:rsidP="0098787A">
      <w:pPr>
        <w:pStyle w:val="Estilo1"/>
        <w:numPr>
          <w:ilvl w:val="0"/>
          <w:numId w:val="0"/>
        </w:numPr>
        <w:tabs>
          <w:tab w:val="left" w:pos="567"/>
        </w:tabs>
        <w:spacing w:before="0" w:after="0"/>
        <w:rPr>
          <w:sz w:val="26"/>
          <w:szCs w:val="26"/>
        </w:rPr>
      </w:pPr>
    </w:p>
    <w:p w14:paraId="4B24D53B" w14:textId="61504B63" w:rsidR="00237C88" w:rsidRPr="00F715E7" w:rsidRDefault="00237C88" w:rsidP="0098787A">
      <w:pPr>
        <w:pStyle w:val="Estilo1"/>
        <w:numPr>
          <w:ilvl w:val="0"/>
          <w:numId w:val="6"/>
        </w:numPr>
        <w:tabs>
          <w:tab w:val="left" w:pos="567"/>
        </w:tabs>
        <w:spacing w:before="0" w:after="0"/>
        <w:ind w:left="0"/>
        <w:rPr>
          <w:sz w:val="26"/>
          <w:szCs w:val="26"/>
        </w:rPr>
      </w:pPr>
      <w:r w:rsidRPr="00F715E7">
        <w:rPr>
          <w:sz w:val="26"/>
          <w:szCs w:val="26"/>
        </w:rPr>
        <w:t xml:space="preserve">Para </w:t>
      </w:r>
      <w:r w:rsidR="004F2669" w:rsidRPr="00F715E7">
        <w:rPr>
          <w:sz w:val="26"/>
          <w:szCs w:val="26"/>
        </w:rPr>
        <w:t>ello</w:t>
      </w:r>
      <w:r w:rsidRPr="00F715E7">
        <w:rPr>
          <w:sz w:val="26"/>
          <w:szCs w:val="26"/>
        </w:rPr>
        <w:t xml:space="preserve">, </w:t>
      </w:r>
      <w:r w:rsidR="00BF3BB1" w:rsidRPr="00F715E7">
        <w:rPr>
          <w:sz w:val="26"/>
          <w:szCs w:val="26"/>
        </w:rPr>
        <w:t xml:space="preserve">respectivamente, </w:t>
      </w:r>
      <w:r w:rsidRPr="00F715E7">
        <w:rPr>
          <w:sz w:val="26"/>
          <w:szCs w:val="26"/>
        </w:rPr>
        <w:t>se multiplicará</w:t>
      </w:r>
      <w:r w:rsidR="00BF3BB1" w:rsidRPr="00F715E7">
        <w:rPr>
          <w:sz w:val="26"/>
          <w:szCs w:val="26"/>
        </w:rPr>
        <w:t>n</w:t>
      </w:r>
      <w:r w:rsidRPr="00F715E7">
        <w:rPr>
          <w:sz w:val="26"/>
          <w:szCs w:val="26"/>
        </w:rPr>
        <w:t xml:space="preserve"> el número total de ciudadanos inscritos en el padrón electoral federal o local, según sea el caso, a la fecha de corte de julio de cada año, por el sesenta y cinco por ciento del salario mínimo diario vigente para el Distrito Federal</w:t>
      </w:r>
      <w:r w:rsidR="004D22B4" w:rsidRPr="00F715E7">
        <w:rPr>
          <w:sz w:val="26"/>
          <w:szCs w:val="26"/>
        </w:rPr>
        <w:t xml:space="preserve"> (ahora Ciudad de México)</w:t>
      </w:r>
      <w:r w:rsidRPr="00F715E7">
        <w:rPr>
          <w:sz w:val="26"/>
          <w:szCs w:val="26"/>
        </w:rPr>
        <w:t>, para los partidos políticos nacionales, o el salario mínimo de la región en la cual se encuentre la entidad federativa, para el caso de los partidos políticos locales (debiéndose entender la Unidad de Medida y Actualización</w:t>
      </w:r>
      <w:r w:rsidR="004F2669" w:rsidRPr="00F715E7">
        <w:rPr>
          <w:sz w:val="26"/>
          <w:szCs w:val="26"/>
        </w:rPr>
        <w:t>).</w:t>
      </w:r>
      <w:r w:rsidRPr="00F715E7">
        <w:rPr>
          <w:sz w:val="26"/>
          <w:szCs w:val="26"/>
          <w:vertAlign w:val="superscript"/>
        </w:rPr>
        <w:footnoteReference w:id="54"/>
      </w:r>
    </w:p>
    <w:p w14:paraId="0A610F43" w14:textId="77777777" w:rsidR="00B03D7F" w:rsidRPr="00F715E7" w:rsidRDefault="00B03D7F" w:rsidP="0098787A">
      <w:pPr>
        <w:pStyle w:val="Estilo1"/>
        <w:numPr>
          <w:ilvl w:val="0"/>
          <w:numId w:val="0"/>
        </w:numPr>
        <w:tabs>
          <w:tab w:val="left" w:pos="567"/>
        </w:tabs>
        <w:spacing w:before="0" w:after="0"/>
        <w:rPr>
          <w:sz w:val="26"/>
          <w:szCs w:val="26"/>
        </w:rPr>
      </w:pPr>
    </w:p>
    <w:p w14:paraId="068F0C2A" w14:textId="3B0CCA9A" w:rsidR="006C59BB" w:rsidRPr="00F715E7" w:rsidRDefault="004F2669" w:rsidP="0098787A">
      <w:pPr>
        <w:pStyle w:val="Estilo1"/>
        <w:numPr>
          <w:ilvl w:val="0"/>
          <w:numId w:val="6"/>
        </w:numPr>
        <w:tabs>
          <w:tab w:val="left" w:pos="567"/>
        </w:tabs>
        <w:spacing w:before="0" w:after="0"/>
        <w:ind w:left="0"/>
        <w:rPr>
          <w:sz w:val="26"/>
          <w:szCs w:val="26"/>
        </w:rPr>
      </w:pPr>
      <w:r w:rsidRPr="00F715E7">
        <w:rPr>
          <w:sz w:val="26"/>
          <w:szCs w:val="26"/>
        </w:rPr>
        <w:t>Es</w:t>
      </w:r>
      <w:r w:rsidR="006C59BB" w:rsidRPr="00F715E7">
        <w:rPr>
          <w:sz w:val="26"/>
          <w:szCs w:val="26"/>
        </w:rPr>
        <w:t xml:space="preserve"> el resultado de esa operación </w:t>
      </w:r>
      <w:r w:rsidRPr="00F715E7">
        <w:rPr>
          <w:sz w:val="26"/>
          <w:szCs w:val="26"/>
        </w:rPr>
        <w:t xml:space="preserve">lo que </w:t>
      </w:r>
      <w:r w:rsidR="006C59BB" w:rsidRPr="00F715E7">
        <w:rPr>
          <w:sz w:val="26"/>
          <w:szCs w:val="26"/>
        </w:rPr>
        <w:t xml:space="preserve">constituye </w:t>
      </w:r>
      <w:r w:rsidR="006C59BB" w:rsidRPr="00F715E7">
        <w:rPr>
          <w:b/>
          <w:bCs/>
          <w:sz w:val="26"/>
          <w:szCs w:val="26"/>
        </w:rPr>
        <w:t>el financiamiento público anual de los partidos políticos</w:t>
      </w:r>
      <w:r w:rsidR="004F1F63" w:rsidRPr="00F715E7">
        <w:rPr>
          <w:b/>
          <w:bCs/>
          <w:sz w:val="26"/>
          <w:szCs w:val="26"/>
        </w:rPr>
        <w:t xml:space="preserve"> –respectivamente nacionales o locales–</w:t>
      </w:r>
      <w:r w:rsidR="006C59BB" w:rsidRPr="00F715E7">
        <w:rPr>
          <w:b/>
          <w:bCs/>
          <w:sz w:val="26"/>
          <w:szCs w:val="26"/>
        </w:rPr>
        <w:t xml:space="preserve"> por sus actividades ordinarias permanentes</w:t>
      </w:r>
      <w:r w:rsidR="006C59BB" w:rsidRPr="00F715E7">
        <w:rPr>
          <w:sz w:val="26"/>
          <w:szCs w:val="26"/>
        </w:rPr>
        <w:t xml:space="preserve">, </w:t>
      </w:r>
      <w:r w:rsidRPr="00F715E7">
        <w:rPr>
          <w:sz w:val="26"/>
          <w:szCs w:val="26"/>
        </w:rPr>
        <w:t>el cual</w:t>
      </w:r>
      <w:r w:rsidR="006C59BB" w:rsidRPr="00F715E7">
        <w:rPr>
          <w:sz w:val="26"/>
          <w:szCs w:val="26"/>
        </w:rPr>
        <w:t xml:space="preserve"> se distribuirá en la forma que establece el inciso a), Base II del artículo 41 de la Constitución</w:t>
      </w:r>
      <w:r w:rsidRPr="00F715E7">
        <w:rPr>
          <w:sz w:val="26"/>
          <w:szCs w:val="26"/>
        </w:rPr>
        <w:t xml:space="preserve"> Federal</w:t>
      </w:r>
      <w:r w:rsidR="006C59BB" w:rsidRPr="00F715E7">
        <w:rPr>
          <w:sz w:val="26"/>
          <w:szCs w:val="26"/>
        </w:rPr>
        <w:t xml:space="preserve">; esto es, el treinta por ciento entre los partidos políticos en forma igualitaria y el setenta por </w:t>
      </w:r>
      <w:r w:rsidR="006369FA" w:rsidRPr="00F715E7">
        <w:rPr>
          <w:sz w:val="26"/>
          <w:szCs w:val="26"/>
        </w:rPr>
        <w:t xml:space="preserve">ciento restante </w:t>
      </w:r>
      <w:r w:rsidR="006C59BB" w:rsidRPr="00F715E7">
        <w:rPr>
          <w:sz w:val="26"/>
          <w:szCs w:val="26"/>
        </w:rPr>
        <w:t xml:space="preserve">de </w:t>
      </w:r>
      <w:r w:rsidR="006369FA" w:rsidRPr="00F715E7">
        <w:rPr>
          <w:sz w:val="26"/>
          <w:szCs w:val="26"/>
        </w:rPr>
        <w:t>conformidad</w:t>
      </w:r>
      <w:r w:rsidR="006C59BB" w:rsidRPr="00F715E7">
        <w:rPr>
          <w:sz w:val="26"/>
          <w:szCs w:val="26"/>
        </w:rPr>
        <w:t xml:space="preserve"> con el porcentaje de votos que hubieren obtenido en la elección de diputados inmediata anterior. </w:t>
      </w:r>
    </w:p>
    <w:p w14:paraId="74C55C98" w14:textId="77777777" w:rsidR="00B03D7F" w:rsidRPr="00F715E7" w:rsidRDefault="00B03D7F" w:rsidP="0098787A">
      <w:pPr>
        <w:pStyle w:val="Estilo1"/>
        <w:numPr>
          <w:ilvl w:val="0"/>
          <w:numId w:val="0"/>
        </w:numPr>
        <w:tabs>
          <w:tab w:val="left" w:pos="567"/>
        </w:tabs>
        <w:spacing w:before="0" w:after="0"/>
        <w:rPr>
          <w:sz w:val="26"/>
          <w:szCs w:val="26"/>
        </w:rPr>
      </w:pPr>
    </w:p>
    <w:p w14:paraId="446575E9" w14:textId="072BA044" w:rsidR="00F91D36" w:rsidRPr="00F715E7" w:rsidRDefault="00B03D7F" w:rsidP="0098787A">
      <w:pPr>
        <w:pStyle w:val="Estilo1"/>
        <w:numPr>
          <w:ilvl w:val="0"/>
          <w:numId w:val="6"/>
        </w:numPr>
        <w:tabs>
          <w:tab w:val="left" w:pos="567"/>
        </w:tabs>
        <w:spacing w:before="0" w:after="0"/>
        <w:ind w:left="0"/>
        <w:rPr>
          <w:sz w:val="26"/>
          <w:szCs w:val="26"/>
        </w:rPr>
      </w:pPr>
      <w:r w:rsidRPr="00F715E7">
        <w:rPr>
          <w:sz w:val="26"/>
          <w:szCs w:val="26"/>
        </w:rPr>
        <w:t xml:space="preserve">El </w:t>
      </w:r>
      <w:r w:rsidR="00C468E8" w:rsidRPr="00F715E7">
        <w:rPr>
          <w:sz w:val="26"/>
          <w:szCs w:val="26"/>
        </w:rPr>
        <w:t>artículo 52 de la aludida Ley General de Partidos Políticos</w:t>
      </w:r>
      <w:r w:rsidR="00C468E8" w:rsidRPr="00F715E7">
        <w:rPr>
          <w:rStyle w:val="Refdenotaalpie"/>
          <w:sz w:val="26"/>
          <w:szCs w:val="26"/>
        </w:rPr>
        <w:footnoteReference w:id="55"/>
      </w:r>
      <w:r w:rsidR="00C468E8" w:rsidRPr="00F715E7">
        <w:rPr>
          <w:sz w:val="26"/>
          <w:szCs w:val="26"/>
        </w:rPr>
        <w:t xml:space="preserve"> estipula que para que un partido político nacional cuente con recursos públicos locales, deberá haber obtenido el tres por ciento de la votación válida emitida en el proceso electoral local anterior en la entidad federativa de que se trate, y que </w:t>
      </w:r>
      <w:r w:rsidR="00C468E8" w:rsidRPr="00F715E7">
        <w:rPr>
          <w:b/>
          <w:bCs/>
          <w:sz w:val="26"/>
          <w:szCs w:val="26"/>
        </w:rPr>
        <w:t>las reglas que determinen el financiamiento local de los partidos que cumplan con dicha estipulación se establecerán en las legislaciones locales respectivas</w:t>
      </w:r>
      <w:r w:rsidR="00C468E8" w:rsidRPr="00F715E7">
        <w:rPr>
          <w:sz w:val="26"/>
          <w:szCs w:val="26"/>
        </w:rPr>
        <w:t>.</w:t>
      </w:r>
    </w:p>
    <w:p w14:paraId="2FB00574" w14:textId="1EDF1419" w:rsidR="00F91D36" w:rsidRPr="00F715E7" w:rsidRDefault="00F91D36" w:rsidP="0098787A">
      <w:pPr>
        <w:pStyle w:val="Estilo1"/>
        <w:numPr>
          <w:ilvl w:val="0"/>
          <w:numId w:val="0"/>
        </w:numPr>
        <w:tabs>
          <w:tab w:val="left" w:pos="567"/>
        </w:tabs>
        <w:spacing w:before="0" w:after="0"/>
        <w:rPr>
          <w:sz w:val="26"/>
          <w:szCs w:val="26"/>
        </w:rPr>
      </w:pPr>
    </w:p>
    <w:p w14:paraId="6F12D1AE" w14:textId="77777777" w:rsidR="00B66133" w:rsidRPr="00F715E7" w:rsidRDefault="00B66133" w:rsidP="0098787A">
      <w:pPr>
        <w:pStyle w:val="Estilo1"/>
        <w:numPr>
          <w:ilvl w:val="0"/>
          <w:numId w:val="0"/>
        </w:numPr>
        <w:tabs>
          <w:tab w:val="left" w:pos="567"/>
        </w:tabs>
        <w:spacing w:before="0" w:after="0"/>
        <w:rPr>
          <w:sz w:val="26"/>
          <w:szCs w:val="26"/>
        </w:rPr>
      </w:pPr>
    </w:p>
    <w:p w14:paraId="22E4F3B0" w14:textId="3194240B" w:rsidR="00F91D36" w:rsidRPr="00F715E7" w:rsidRDefault="00F91D36" w:rsidP="0098787A">
      <w:pPr>
        <w:pStyle w:val="Estilo1"/>
        <w:numPr>
          <w:ilvl w:val="0"/>
          <w:numId w:val="0"/>
        </w:numPr>
        <w:tabs>
          <w:tab w:val="left" w:pos="567"/>
        </w:tabs>
        <w:spacing w:before="0" w:after="0"/>
        <w:jc w:val="center"/>
        <w:rPr>
          <w:b/>
          <w:bCs/>
          <w:sz w:val="26"/>
          <w:szCs w:val="26"/>
        </w:rPr>
      </w:pPr>
      <w:r w:rsidRPr="00F715E7">
        <w:rPr>
          <w:b/>
          <w:bCs/>
          <w:sz w:val="26"/>
          <w:szCs w:val="26"/>
        </w:rPr>
        <w:t>Análisis de la norma impugnada</w:t>
      </w:r>
      <w:r w:rsidR="00E51A7A">
        <w:rPr>
          <w:b/>
          <w:bCs/>
          <w:sz w:val="26"/>
          <w:szCs w:val="26"/>
        </w:rPr>
        <w:t>.</w:t>
      </w:r>
    </w:p>
    <w:p w14:paraId="1A700D01" w14:textId="57AF935D" w:rsidR="00F91D36" w:rsidRPr="00F715E7" w:rsidRDefault="00F91D36" w:rsidP="0098787A">
      <w:pPr>
        <w:pStyle w:val="Estilo1"/>
        <w:numPr>
          <w:ilvl w:val="0"/>
          <w:numId w:val="0"/>
        </w:numPr>
        <w:tabs>
          <w:tab w:val="left" w:pos="567"/>
        </w:tabs>
        <w:spacing w:before="0" w:after="0"/>
        <w:jc w:val="center"/>
        <w:rPr>
          <w:b/>
          <w:bCs/>
          <w:sz w:val="26"/>
          <w:szCs w:val="26"/>
        </w:rPr>
      </w:pPr>
    </w:p>
    <w:p w14:paraId="136D77EC" w14:textId="65930CEE" w:rsidR="00F91D36" w:rsidRPr="00F715E7" w:rsidRDefault="00F91D36" w:rsidP="0098787A">
      <w:pPr>
        <w:pStyle w:val="Estilo1"/>
        <w:numPr>
          <w:ilvl w:val="0"/>
          <w:numId w:val="6"/>
        </w:numPr>
        <w:tabs>
          <w:tab w:val="left" w:pos="567"/>
        </w:tabs>
        <w:spacing w:before="0" w:after="0"/>
        <w:ind w:left="0"/>
        <w:rPr>
          <w:sz w:val="26"/>
          <w:szCs w:val="26"/>
        </w:rPr>
      </w:pPr>
      <w:r w:rsidRPr="00F715E7">
        <w:rPr>
          <w:sz w:val="26"/>
          <w:szCs w:val="26"/>
        </w:rPr>
        <w:t xml:space="preserve">Asentado ese marco normativo, debe decirse que resulta </w:t>
      </w:r>
      <w:r w:rsidRPr="00F715E7">
        <w:rPr>
          <w:b/>
          <w:bCs/>
          <w:sz w:val="26"/>
          <w:szCs w:val="26"/>
        </w:rPr>
        <w:t>infundado</w:t>
      </w:r>
      <w:r w:rsidRPr="00F715E7">
        <w:rPr>
          <w:sz w:val="26"/>
          <w:szCs w:val="26"/>
        </w:rPr>
        <w:t xml:space="preserve"> el argumento planteado. En cuanto al tema de financiamiento público local de los partidos políticos nacionales, este Tribunal Pleno ha sostenido que la reducción de éste se encuentra dentro del ámbito de configuración legislativa de las entidades federativas.</w:t>
      </w:r>
      <w:r w:rsidRPr="00F715E7">
        <w:rPr>
          <w:rStyle w:val="Refdenotaalpie"/>
          <w:sz w:val="26"/>
          <w:szCs w:val="26"/>
        </w:rPr>
        <w:footnoteReference w:id="56"/>
      </w:r>
      <w:r w:rsidRPr="00F715E7">
        <w:rPr>
          <w:sz w:val="26"/>
          <w:szCs w:val="26"/>
        </w:rPr>
        <w:t xml:space="preserve"> </w:t>
      </w:r>
    </w:p>
    <w:p w14:paraId="57C226A3" w14:textId="77777777" w:rsidR="00B03D7F" w:rsidRPr="00F715E7" w:rsidRDefault="00B03D7F" w:rsidP="0098787A">
      <w:pPr>
        <w:pStyle w:val="Estilo1"/>
        <w:numPr>
          <w:ilvl w:val="0"/>
          <w:numId w:val="0"/>
        </w:numPr>
        <w:tabs>
          <w:tab w:val="left" w:pos="567"/>
        </w:tabs>
        <w:spacing w:before="0" w:after="0"/>
        <w:rPr>
          <w:sz w:val="26"/>
          <w:szCs w:val="26"/>
        </w:rPr>
      </w:pPr>
    </w:p>
    <w:p w14:paraId="0E9B40BE" w14:textId="33B49267" w:rsidR="00D55A50" w:rsidRPr="00F715E7" w:rsidRDefault="00F91D36" w:rsidP="0098787A">
      <w:pPr>
        <w:pStyle w:val="Estilo1"/>
        <w:numPr>
          <w:ilvl w:val="0"/>
          <w:numId w:val="6"/>
        </w:numPr>
        <w:tabs>
          <w:tab w:val="left" w:pos="567"/>
        </w:tabs>
        <w:spacing w:before="0" w:after="0"/>
        <w:ind w:left="0"/>
        <w:rPr>
          <w:sz w:val="26"/>
          <w:szCs w:val="26"/>
        </w:rPr>
      </w:pPr>
      <w:r w:rsidRPr="00F715E7">
        <w:rPr>
          <w:sz w:val="26"/>
          <w:szCs w:val="26"/>
        </w:rPr>
        <w:t xml:space="preserve">La </w:t>
      </w:r>
      <w:r w:rsidR="009D580B" w:rsidRPr="00F715E7">
        <w:rPr>
          <w:sz w:val="26"/>
          <w:szCs w:val="26"/>
        </w:rPr>
        <w:t xml:space="preserve">norma impugnada establece que para fijar anualmente el financiamiento público </w:t>
      </w:r>
      <w:r w:rsidR="009C35BC" w:rsidRPr="00F715E7">
        <w:rPr>
          <w:sz w:val="26"/>
          <w:szCs w:val="26"/>
        </w:rPr>
        <w:t xml:space="preserve">local </w:t>
      </w:r>
      <w:r w:rsidR="009D580B" w:rsidRPr="00F715E7">
        <w:rPr>
          <w:sz w:val="26"/>
          <w:szCs w:val="26"/>
        </w:rPr>
        <w:t xml:space="preserve">para el sostenimiento de las actividades </w:t>
      </w:r>
      <w:r w:rsidR="009D580B" w:rsidRPr="00F715E7">
        <w:rPr>
          <w:sz w:val="26"/>
          <w:szCs w:val="26"/>
        </w:rPr>
        <w:lastRenderedPageBreak/>
        <w:t xml:space="preserve">ordinarias permanentes de los partidos políticos nacionales, se multiplicará el número total de ciudadanos inscritos en el padrón electoral </w:t>
      </w:r>
      <w:r w:rsidR="009C35BC" w:rsidRPr="00F715E7">
        <w:rPr>
          <w:sz w:val="26"/>
          <w:szCs w:val="26"/>
        </w:rPr>
        <w:t>de la entidad federativa</w:t>
      </w:r>
      <w:r w:rsidR="009D580B" w:rsidRPr="00F715E7">
        <w:rPr>
          <w:sz w:val="26"/>
          <w:szCs w:val="26"/>
        </w:rPr>
        <w:t xml:space="preserve"> a la fecha de corte de julio de cada año por el treinta y dos punto cinco (32.5%) del valor diario de la Unidad de Medida y Actualización vigente.</w:t>
      </w:r>
      <w:r w:rsidR="009D580B" w:rsidRPr="00F715E7">
        <w:rPr>
          <w:rStyle w:val="Refdenotaalpie"/>
          <w:sz w:val="26"/>
          <w:szCs w:val="26"/>
        </w:rPr>
        <w:footnoteReference w:id="57"/>
      </w:r>
      <w:r w:rsidR="00637433" w:rsidRPr="00F715E7">
        <w:rPr>
          <w:sz w:val="26"/>
          <w:szCs w:val="26"/>
        </w:rPr>
        <w:t xml:space="preserve"> L</w:t>
      </w:r>
      <w:r w:rsidR="009C35BC" w:rsidRPr="00F715E7">
        <w:rPr>
          <w:sz w:val="26"/>
          <w:szCs w:val="26"/>
        </w:rPr>
        <w:t>o</w:t>
      </w:r>
      <w:r w:rsidR="00637433" w:rsidRPr="00F715E7">
        <w:rPr>
          <w:sz w:val="26"/>
          <w:szCs w:val="26"/>
        </w:rPr>
        <w:t xml:space="preserve"> cual es acorde a lo que establece la Constitución Política de los Estados Unidos Mexicanos.</w:t>
      </w:r>
    </w:p>
    <w:p w14:paraId="31615A00" w14:textId="77777777" w:rsidR="00625A5F" w:rsidRPr="00F715E7" w:rsidRDefault="00625A5F" w:rsidP="0098787A">
      <w:pPr>
        <w:pStyle w:val="Estilo1"/>
        <w:numPr>
          <w:ilvl w:val="0"/>
          <w:numId w:val="0"/>
        </w:numPr>
        <w:tabs>
          <w:tab w:val="left" w:pos="567"/>
        </w:tabs>
        <w:spacing w:before="0" w:after="0"/>
        <w:rPr>
          <w:sz w:val="26"/>
          <w:szCs w:val="26"/>
        </w:rPr>
      </w:pPr>
    </w:p>
    <w:p w14:paraId="3E5D5B52" w14:textId="6068FA1E" w:rsidR="008E2F70" w:rsidRPr="00F715E7" w:rsidRDefault="00637433" w:rsidP="0098787A">
      <w:pPr>
        <w:pStyle w:val="Estilo1"/>
        <w:numPr>
          <w:ilvl w:val="0"/>
          <w:numId w:val="6"/>
        </w:numPr>
        <w:tabs>
          <w:tab w:val="left" w:pos="567"/>
        </w:tabs>
        <w:spacing w:before="0" w:after="0"/>
        <w:ind w:left="0"/>
        <w:rPr>
          <w:sz w:val="26"/>
          <w:szCs w:val="26"/>
        </w:rPr>
      </w:pPr>
      <w:r w:rsidRPr="00F715E7">
        <w:rPr>
          <w:sz w:val="26"/>
          <w:szCs w:val="26"/>
        </w:rPr>
        <w:t>Ello es así porque,</w:t>
      </w:r>
      <w:r w:rsidR="008E2F70" w:rsidRPr="00F715E7">
        <w:rPr>
          <w:sz w:val="26"/>
          <w:szCs w:val="26"/>
        </w:rPr>
        <w:t xml:space="preserve"> </w:t>
      </w:r>
      <w:r w:rsidRPr="00F715E7">
        <w:rPr>
          <w:sz w:val="26"/>
          <w:szCs w:val="26"/>
        </w:rPr>
        <w:t>en principio</w:t>
      </w:r>
      <w:r w:rsidR="00995798" w:rsidRPr="00F715E7">
        <w:rPr>
          <w:sz w:val="26"/>
          <w:szCs w:val="26"/>
        </w:rPr>
        <w:t>,</w:t>
      </w:r>
      <w:r w:rsidRPr="00F715E7">
        <w:rPr>
          <w:sz w:val="26"/>
          <w:szCs w:val="26"/>
        </w:rPr>
        <w:t xml:space="preserve"> </w:t>
      </w:r>
      <w:r w:rsidR="008E2F70" w:rsidRPr="00F715E7">
        <w:rPr>
          <w:sz w:val="26"/>
          <w:szCs w:val="26"/>
          <w:lang w:val="es-ES_tradnl"/>
        </w:rPr>
        <w:t xml:space="preserve">las entidades federativas tienen libertad de configuración siempre que cumplan con lo establecido en el artículo 116, fracción IV, inciso g), de la Constitución Política de los Estados </w:t>
      </w:r>
      <w:r w:rsidR="003D16E4" w:rsidRPr="00F715E7">
        <w:rPr>
          <w:sz w:val="26"/>
          <w:szCs w:val="26"/>
          <w:lang w:val="es-ES_tradnl"/>
        </w:rPr>
        <w:t>U</w:t>
      </w:r>
      <w:r w:rsidR="008E2F70" w:rsidRPr="00F715E7">
        <w:rPr>
          <w:sz w:val="26"/>
          <w:szCs w:val="26"/>
          <w:lang w:val="es-ES_tradnl"/>
        </w:rPr>
        <w:t>nidos Mexicanos, el cual dispone que, de conformidad con las bases establecidas en ésta y las leyes generales en la materia, la legislación estatal electoral debe garantizar que los partidos políticos reciban</w:t>
      </w:r>
      <w:r w:rsidR="00995798" w:rsidRPr="00F715E7">
        <w:rPr>
          <w:sz w:val="26"/>
          <w:szCs w:val="26"/>
          <w:lang w:val="es-ES_tradnl"/>
        </w:rPr>
        <w:t xml:space="preserve"> </w:t>
      </w:r>
      <w:r w:rsidR="008E2F70" w:rsidRPr="00F715E7">
        <w:rPr>
          <w:sz w:val="26"/>
          <w:szCs w:val="26"/>
          <w:lang w:val="es-ES_tradnl"/>
        </w:rPr>
        <w:t>equitativa</w:t>
      </w:r>
      <w:r w:rsidR="00995798" w:rsidRPr="00F715E7">
        <w:rPr>
          <w:sz w:val="26"/>
          <w:szCs w:val="26"/>
          <w:lang w:val="es-ES_tradnl"/>
        </w:rPr>
        <w:t>mente</w:t>
      </w:r>
      <w:r w:rsidR="008E2F70" w:rsidRPr="00F715E7">
        <w:rPr>
          <w:sz w:val="26"/>
          <w:szCs w:val="26"/>
          <w:lang w:val="es-ES_tradnl"/>
        </w:rPr>
        <w:t xml:space="preserve"> financiamiento público para sus actividades ordinarias permanentes, así como las tend</w:t>
      </w:r>
      <w:r w:rsidR="004D22B4" w:rsidRPr="00F715E7">
        <w:rPr>
          <w:sz w:val="26"/>
          <w:szCs w:val="26"/>
          <w:lang w:val="es-ES_tradnl"/>
        </w:rPr>
        <w:t>i</w:t>
      </w:r>
      <w:r w:rsidR="008E2F70" w:rsidRPr="00F715E7">
        <w:rPr>
          <w:sz w:val="26"/>
          <w:szCs w:val="26"/>
          <w:lang w:val="es-ES_tradnl"/>
        </w:rPr>
        <w:t>entes a la obtención del voto durante</w:t>
      </w:r>
      <w:r w:rsidR="008E2F70" w:rsidRPr="00F715E7">
        <w:rPr>
          <w:sz w:val="26"/>
          <w:szCs w:val="26"/>
        </w:rPr>
        <w:t xml:space="preserve"> </w:t>
      </w:r>
      <w:r w:rsidR="008E2F70" w:rsidRPr="00F715E7">
        <w:rPr>
          <w:sz w:val="26"/>
          <w:szCs w:val="26"/>
          <w:lang w:val="es-ES_tradnl"/>
        </w:rPr>
        <w:t>los procesos electorales.</w:t>
      </w:r>
    </w:p>
    <w:p w14:paraId="0E5B9798" w14:textId="77777777" w:rsidR="00625A5F" w:rsidRPr="00F715E7" w:rsidRDefault="00625A5F" w:rsidP="0098787A">
      <w:pPr>
        <w:pStyle w:val="Estilo1"/>
        <w:numPr>
          <w:ilvl w:val="0"/>
          <w:numId w:val="0"/>
        </w:numPr>
        <w:tabs>
          <w:tab w:val="left" w:pos="567"/>
        </w:tabs>
        <w:spacing w:before="0" w:after="0"/>
        <w:rPr>
          <w:sz w:val="26"/>
          <w:szCs w:val="26"/>
        </w:rPr>
      </w:pPr>
    </w:p>
    <w:p w14:paraId="1FDA75CD" w14:textId="365032FB" w:rsidR="00D23BCC" w:rsidRPr="00F715E7" w:rsidRDefault="00637433" w:rsidP="0098787A">
      <w:pPr>
        <w:pStyle w:val="Estilo1"/>
        <w:numPr>
          <w:ilvl w:val="0"/>
          <w:numId w:val="6"/>
        </w:numPr>
        <w:tabs>
          <w:tab w:val="left" w:pos="567"/>
        </w:tabs>
        <w:spacing w:before="0" w:after="0"/>
        <w:ind w:left="0"/>
        <w:rPr>
          <w:sz w:val="26"/>
          <w:szCs w:val="26"/>
        </w:rPr>
      </w:pPr>
      <w:r w:rsidRPr="00F715E7">
        <w:rPr>
          <w:sz w:val="26"/>
          <w:szCs w:val="26"/>
        </w:rPr>
        <w:t>Y de</w:t>
      </w:r>
      <w:r w:rsidR="008E2F70" w:rsidRPr="00F715E7">
        <w:rPr>
          <w:sz w:val="26"/>
          <w:szCs w:val="26"/>
        </w:rPr>
        <w:t xml:space="preserve"> </w:t>
      </w:r>
      <w:r w:rsidRPr="00F715E7">
        <w:rPr>
          <w:sz w:val="26"/>
          <w:szCs w:val="26"/>
          <w:lang w:val="es-ES_tradnl"/>
        </w:rPr>
        <w:t xml:space="preserve">dicho precepto constitucional se advierte que </w:t>
      </w:r>
      <w:r w:rsidRPr="00F715E7">
        <w:rPr>
          <w:bCs/>
          <w:sz w:val="26"/>
          <w:szCs w:val="26"/>
          <w:lang w:val="es-ES_tradnl"/>
        </w:rPr>
        <w:t>no establece que el financiamiento público para los partidos políticos sea igualitario</w:t>
      </w:r>
      <w:r w:rsidRPr="00F715E7">
        <w:rPr>
          <w:b/>
          <w:sz w:val="26"/>
          <w:szCs w:val="26"/>
          <w:lang w:val="es-ES_tradnl"/>
        </w:rPr>
        <w:t xml:space="preserve">, </w:t>
      </w:r>
      <w:r w:rsidRPr="00F715E7">
        <w:rPr>
          <w:sz w:val="26"/>
          <w:szCs w:val="26"/>
          <w:lang w:val="es-ES_tradnl"/>
        </w:rPr>
        <w:t>sino que debe ser equitativo</w:t>
      </w:r>
      <w:r w:rsidR="003D16E4" w:rsidRPr="00F715E7">
        <w:rPr>
          <w:sz w:val="26"/>
          <w:szCs w:val="26"/>
          <w:lang w:val="es-ES_tradnl"/>
        </w:rPr>
        <w:t>.</w:t>
      </w:r>
      <w:r w:rsidRPr="00F715E7">
        <w:rPr>
          <w:sz w:val="26"/>
          <w:szCs w:val="26"/>
          <w:lang w:val="es-ES_tradnl"/>
        </w:rPr>
        <w:t xml:space="preserve"> </w:t>
      </w:r>
      <w:r w:rsidR="003D16E4" w:rsidRPr="00F715E7">
        <w:rPr>
          <w:sz w:val="26"/>
          <w:szCs w:val="26"/>
          <w:lang w:val="es-ES_tradnl"/>
        </w:rPr>
        <w:t>A</w:t>
      </w:r>
      <w:r w:rsidRPr="00F715E7">
        <w:rPr>
          <w:sz w:val="26"/>
          <w:szCs w:val="26"/>
          <w:lang w:val="es-ES_tradnl"/>
        </w:rPr>
        <w:t>sí, si el legislador partiendo del contexto que permea en esa entidad federativa y la necesidad de reducir gastos</w:t>
      </w:r>
      <w:r w:rsidR="004D22B4" w:rsidRPr="00F715E7">
        <w:rPr>
          <w:sz w:val="26"/>
          <w:szCs w:val="26"/>
          <w:lang w:val="es-ES_tradnl"/>
        </w:rPr>
        <w:t>,</w:t>
      </w:r>
      <w:r w:rsidRPr="00F715E7">
        <w:rPr>
          <w:sz w:val="26"/>
          <w:szCs w:val="26"/>
          <w:lang w:val="es-ES_tradnl"/>
        </w:rPr>
        <w:t xml:space="preserve"> consideró la necesidad de un financiamiento estatal diferenciado para los partidos políticos nacionales y los locales, esta distinción es acorde con la Constitución Federal.</w:t>
      </w:r>
      <w:r w:rsidR="0067432F" w:rsidRPr="00F715E7">
        <w:rPr>
          <w:sz w:val="26"/>
          <w:szCs w:val="26"/>
          <w:lang w:val="es-ES_tradnl"/>
        </w:rPr>
        <w:t xml:space="preserve"> </w:t>
      </w:r>
    </w:p>
    <w:p w14:paraId="374CB565" w14:textId="77777777" w:rsidR="00D23BCC" w:rsidRPr="00F715E7" w:rsidRDefault="00D23BCC" w:rsidP="001E1EF8">
      <w:pPr>
        <w:pStyle w:val="Prrafodelista"/>
        <w:rPr>
          <w:sz w:val="26"/>
          <w:szCs w:val="26"/>
          <w:lang w:val="es-ES_tradnl"/>
        </w:rPr>
      </w:pPr>
    </w:p>
    <w:p w14:paraId="2B8C0E69" w14:textId="0E59A34D" w:rsidR="00637433" w:rsidRPr="00F715E7" w:rsidRDefault="00637433" w:rsidP="0098787A">
      <w:pPr>
        <w:pStyle w:val="Estilo1"/>
        <w:numPr>
          <w:ilvl w:val="0"/>
          <w:numId w:val="6"/>
        </w:numPr>
        <w:tabs>
          <w:tab w:val="left" w:pos="567"/>
        </w:tabs>
        <w:spacing w:before="0" w:after="0"/>
        <w:ind w:left="0"/>
        <w:rPr>
          <w:sz w:val="26"/>
          <w:szCs w:val="26"/>
        </w:rPr>
      </w:pPr>
      <w:r w:rsidRPr="00F715E7">
        <w:rPr>
          <w:sz w:val="26"/>
          <w:szCs w:val="26"/>
          <w:lang w:val="es-ES_tradnl"/>
        </w:rPr>
        <w:t>Además,</w:t>
      </w:r>
      <w:r w:rsidR="00FF7765" w:rsidRPr="00F715E7">
        <w:rPr>
          <w:sz w:val="26"/>
          <w:szCs w:val="26"/>
          <w:lang w:val="es-ES_tradnl"/>
        </w:rPr>
        <w:t xml:space="preserve"> esto último también es así </w:t>
      </w:r>
      <w:r w:rsidRPr="00F715E7">
        <w:rPr>
          <w:sz w:val="26"/>
          <w:szCs w:val="26"/>
          <w:lang w:val="es-ES_tradnl"/>
        </w:rPr>
        <w:t>debido a las diferencias notorias que tienen los partidos nacionales con los locales y, tomando en consideración que para el financiamiento de los partidos locales las entidades federativas no pueden contravenir las estipulaciones del artículo 51 de la Ley General de Partidos Políticos</w:t>
      </w:r>
      <w:r w:rsidR="00FF7765" w:rsidRPr="00F715E7">
        <w:rPr>
          <w:sz w:val="26"/>
          <w:szCs w:val="26"/>
          <w:lang w:val="es-ES_tradnl"/>
        </w:rPr>
        <w:t>.</w:t>
      </w:r>
    </w:p>
    <w:p w14:paraId="3E970126" w14:textId="77777777" w:rsidR="00625A5F" w:rsidRPr="00F715E7" w:rsidRDefault="00625A5F" w:rsidP="0098787A">
      <w:pPr>
        <w:pStyle w:val="Estilo1"/>
        <w:numPr>
          <w:ilvl w:val="0"/>
          <w:numId w:val="0"/>
        </w:numPr>
        <w:tabs>
          <w:tab w:val="left" w:pos="567"/>
        </w:tabs>
        <w:spacing w:before="0" w:after="0"/>
        <w:rPr>
          <w:sz w:val="26"/>
          <w:szCs w:val="26"/>
        </w:rPr>
      </w:pPr>
    </w:p>
    <w:p w14:paraId="40BA809A" w14:textId="5BE577F0" w:rsidR="00637433" w:rsidRPr="00F715E7" w:rsidRDefault="00637433"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 </w:t>
      </w:r>
      <w:r w:rsidR="00FF7765" w:rsidRPr="00F715E7">
        <w:rPr>
          <w:sz w:val="26"/>
          <w:szCs w:val="26"/>
          <w:lang w:val="es-ES_tradnl"/>
        </w:rPr>
        <w:t xml:space="preserve">En efecto, la </w:t>
      </w:r>
      <w:r w:rsidR="00FF7765" w:rsidRPr="00F715E7">
        <w:rPr>
          <w:sz w:val="26"/>
          <w:szCs w:val="26"/>
        </w:rPr>
        <w:t>Ley General de Partidos Políticos tiene por objeto regular las disposiciones constitucionales aplicables a los partidos políticos nacionales y locales, así como distribuir competencias entre la Federación y las entidades federativas en materias como prerrogativas de los partidos políticos, entre lo que se encuentra el financiamiento público.</w:t>
      </w:r>
    </w:p>
    <w:p w14:paraId="0D370D14" w14:textId="77777777" w:rsidR="00625A5F" w:rsidRPr="00F715E7" w:rsidRDefault="00625A5F" w:rsidP="0098787A">
      <w:pPr>
        <w:pStyle w:val="Estilo1"/>
        <w:numPr>
          <w:ilvl w:val="0"/>
          <w:numId w:val="0"/>
        </w:numPr>
        <w:tabs>
          <w:tab w:val="left" w:pos="567"/>
        </w:tabs>
        <w:spacing w:before="0" w:after="0"/>
        <w:rPr>
          <w:sz w:val="26"/>
          <w:szCs w:val="26"/>
          <w:lang w:val="es-ES_tradnl"/>
        </w:rPr>
      </w:pPr>
    </w:p>
    <w:p w14:paraId="5A2428D6" w14:textId="431DBB20" w:rsidR="00FF7765" w:rsidRPr="00F715E7" w:rsidRDefault="00625A5F" w:rsidP="0098787A">
      <w:pPr>
        <w:pStyle w:val="Estilo1"/>
        <w:numPr>
          <w:ilvl w:val="0"/>
          <w:numId w:val="6"/>
        </w:numPr>
        <w:tabs>
          <w:tab w:val="left" w:pos="567"/>
        </w:tabs>
        <w:spacing w:before="0" w:after="0"/>
        <w:ind w:left="0"/>
        <w:rPr>
          <w:b/>
          <w:bCs/>
          <w:sz w:val="26"/>
          <w:szCs w:val="26"/>
          <w:lang w:val="es-ES_tradnl"/>
        </w:rPr>
      </w:pPr>
      <w:r w:rsidRPr="00F715E7">
        <w:rPr>
          <w:sz w:val="26"/>
          <w:szCs w:val="26"/>
        </w:rPr>
        <w:t xml:space="preserve">El </w:t>
      </w:r>
      <w:r w:rsidR="00FF7765" w:rsidRPr="00F715E7">
        <w:rPr>
          <w:sz w:val="26"/>
          <w:szCs w:val="26"/>
        </w:rPr>
        <w:t xml:space="preserve">artículo 52, párrafo 2, de la Ley General de Partidos Políticos dispone que, en caso de que se cumpla la condición prevista en el párrafo 1, esto es, que se obtenga el tres por ciento de la votación válida emitida en el proceso electoral local anterior, </w:t>
      </w:r>
      <w:r w:rsidR="00FF7765" w:rsidRPr="00F715E7">
        <w:rPr>
          <w:b/>
          <w:bCs/>
          <w:sz w:val="26"/>
          <w:szCs w:val="26"/>
        </w:rPr>
        <w:t>las reglas que determinen el financiamiento público local de los partidos políticos nacionales se establecerán en las legislaciones locales respectivas.</w:t>
      </w:r>
    </w:p>
    <w:p w14:paraId="66A087E0" w14:textId="77777777" w:rsidR="00625A5F" w:rsidRPr="00F715E7" w:rsidRDefault="00625A5F" w:rsidP="0098787A">
      <w:pPr>
        <w:pStyle w:val="Estilo1"/>
        <w:numPr>
          <w:ilvl w:val="0"/>
          <w:numId w:val="0"/>
        </w:numPr>
        <w:tabs>
          <w:tab w:val="left" w:pos="567"/>
        </w:tabs>
        <w:spacing w:before="0" w:after="0"/>
        <w:rPr>
          <w:sz w:val="26"/>
          <w:szCs w:val="26"/>
          <w:lang w:val="es-ES_tradnl"/>
        </w:rPr>
      </w:pPr>
    </w:p>
    <w:p w14:paraId="4CEADD99" w14:textId="03E751BA" w:rsidR="00FF7765" w:rsidRPr="00F715E7" w:rsidRDefault="00FF7765" w:rsidP="0098787A">
      <w:pPr>
        <w:pStyle w:val="Estilo1"/>
        <w:numPr>
          <w:ilvl w:val="0"/>
          <w:numId w:val="6"/>
        </w:numPr>
        <w:tabs>
          <w:tab w:val="left" w:pos="567"/>
        </w:tabs>
        <w:spacing w:before="0" w:after="0"/>
        <w:ind w:left="0"/>
        <w:rPr>
          <w:sz w:val="26"/>
          <w:szCs w:val="26"/>
        </w:rPr>
      </w:pPr>
      <w:r w:rsidRPr="00F715E7">
        <w:rPr>
          <w:sz w:val="26"/>
          <w:szCs w:val="26"/>
        </w:rPr>
        <w:t>Así, en el caso del financiamiento público para los partidos políticos locales, la Ley General de Partidos Políticos da pautas precisas para su otorgamiento y distribución –como lo reconoce la primera parte del párrafo impugnado–</w:t>
      </w:r>
      <w:r w:rsidR="003D16E4" w:rsidRPr="00F715E7">
        <w:rPr>
          <w:sz w:val="26"/>
          <w:szCs w:val="26"/>
        </w:rPr>
        <w:t>. E</w:t>
      </w:r>
      <w:r w:rsidRPr="00F715E7">
        <w:rPr>
          <w:sz w:val="26"/>
          <w:szCs w:val="26"/>
        </w:rPr>
        <w:t xml:space="preserve">n el caso del financiamiento público estatal para los partidos políticos nacionales sólo establece la obligación de proporcionarlo, </w:t>
      </w:r>
      <w:r w:rsidRPr="00F715E7">
        <w:rPr>
          <w:bCs/>
          <w:sz w:val="26"/>
          <w:szCs w:val="26"/>
        </w:rPr>
        <w:t>dejando en libertad de configuración</w:t>
      </w:r>
      <w:r w:rsidRPr="00F715E7">
        <w:rPr>
          <w:b/>
          <w:sz w:val="26"/>
          <w:szCs w:val="26"/>
        </w:rPr>
        <w:t xml:space="preserve"> </w:t>
      </w:r>
      <w:r w:rsidRPr="00F715E7">
        <w:rPr>
          <w:sz w:val="26"/>
          <w:szCs w:val="26"/>
        </w:rPr>
        <w:t>a las entidades federativas para establecer las reglas para su otorgamiento.</w:t>
      </w:r>
    </w:p>
    <w:p w14:paraId="42EE7284" w14:textId="77777777" w:rsidR="00625A5F" w:rsidRPr="00F715E7" w:rsidRDefault="00625A5F" w:rsidP="0098787A">
      <w:pPr>
        <w:pStyle w:val="Estilo1"/>
        <w:numPr>
          <w:ilvl w:val="0"/>
          <w:numId w:val="0"/>
        </w:numPr>
        <w:tabs>
          <w:tab w:val="left" w:pos="567"/>
        </w:tabs>
        <w:spacing w:before="0" w:after="0"/>
        <w:rPr>
          <w:sz w:val="26"/>
          <w:szCs w:val="26"/>
        </w:rPr>
      </w:pPr>
    </w:p>
    <w:p w14:paraId="179F568E" w14:textId="0DF057AA" w:rsidR="00FF7765" w:rsidRPr="00F715E7" w:rsidRDefault="00FF7765"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lastRenderedPageBreak/>
        <w:t xml:space="preserve">Esto último </w:t>
      </w:r>
      <w:r w:rsidR="001B0841" w:rsidRPr="00F715E7">
        <w:rPr>
          <w:sz w:val="26"/>
          <w:szCs w:val="26"/>
          <w:lang w:val="es-ES_tradnl"/>
        </w:rPr>
        <w:t xml:space="preserve">es </w:t>
      </w:r>
      <w:r w:rsidR="001B0841" w:rsidRPr="00F715E7">
        <w:rPr>
          <w:sz w:val="26"/>
          <w:szCs w:val="26"/>
        </w:rPr>
        <w:t>así</w:t>
      </w:r>
      <w:r w:rsidR="001B0841" w:rsidRPr="00F715E7">
        <w:rPr>
          <w:sz w:val="26"/>
          <w:szCs w:val="26"/>
          <w:lang w:val="es-ES_tradnl"/>
        </w:rPr>
        <w:t xml:space="preserve"> </w:t>
      </w:r>
      <w:r w:rsidRPr="00F715E7">
        <w:rPr>
          <w:sz w:val="26"/>
          <w:szCs w:val="26"/>
          <w:lang w:val="es-ES_tradnl"/>
        </w:rPr>
        <w:t>incluso</w:t>
      </w:r>
      <w:r w:rsidR="001B0841" w:rsidRPr="00F715E7">
        <w:rPr>
          <w:sz w:val="26"/>
          <w:szCs w:val="26"/>
          <w:lang w:val="es-ES_tradnl"/>
        </w:rPr>
        <w:t xml:space="preserve"> si se toma en consideraci</w:t>
      </w:r>
      <w:r w:rsidR="00E56399" w:rsidRPr="00F715E7">
        <w:rPr>
          <w:sz w:val="26"/>
          <w:szCs w:val="26"/>
          <w:lang w:val="es-ES_tradnl"/>
        </w:rPr>
        <w:t>ó</w:t>
      </w:r>
      <w:r w:rsidR="001B0841" w:rsidRPr="00F715E7">
        <w:rPr>
          <w:sz w:val="26"/>
          <w:szCs w:val="26"/>
          <w:lang w:val="es-ES_tradnl"/>
        </w:rPr>
        <w:t>n</w:t>
      </w:r>
      <w:r w:rsidRPr="00F715E7">
        <w:rPr>
          <w:sz w:val="26"/>
          <w:szCs w:val="26"/>
          <w:lang w:val="es-ES_tradnl"/>
        </w:rPr>
        <w:t xml:space="preserve"> lo establecido en el artículo 23 de la Ley General de Partidos Políticos, que señala lo siguiente: </w:t>
      </w:r>
    </w:p>
    <w:p w14:paraId="76460530" w14:textId="77777777" w:rsidR="003D16E4" w:rsidRPr="00F715E7" w:rsidRDefault="003D16E4" w:rsidP="0098787A">
      <w:pPr>
        <w:pStyle w:val="Prrafodelista"/>
        <w:spacing w:before="0" w:after="0" w:line="240" w:lineRule="auto"/>
        <w:ind w:right="476"/>
        <w:rPr>
          <w:b/>
          <w:bCs/>
          <w:szCs w:val="24"/>
        </w:rPr>
      </w:pPr>
    </w:p>
    <w:p w14:paraId="03F23DE9" w14:textId="690169D5" w:rsidR="00FF7765" w:rsidRPr="00F715E7" w:rsidRDefault="00FF7765" w:rsidP="001E1EF8">
      <w:pPr>
        <w:pStyle w:val="Prrafodelista"/>
        <w:spacing w:before="0" w:after="0" w:line="240" w:lineRule="auto"/>
        <w:ind w:right="476"/>
        <w:rPr>
          <w:szCs w:val="24"/>
        </w:rPr>
      </w:pPr>
      <w:r w:rsidRPr="00F715E7">
        <w:rPr>
          <w:b/>
          <w:bCs/>
          <w:szCs w:val="24"/>
        </w:rPr>
        <w:t>Artículo 23.</w:t>
      </w:r>
    </w:p>
    <w:p w14:paraId="7F3DC971" w14:textId="77777777" w:rsidR="00FF7765" w:rsidRPr="00F715E7" w:rsidRDefault="00FF7765" w:rsidP="001E1EF8">
      <w:pPr>
        <w:pStyle w:val="Prrafodelista"/>
        <w:spacing w:before="0" w:after="0" w:line="240" w:lineRule="auto"/>
        <w:ind w:right="476"/>
        <w:rPr>
          <w:szCs w:val="24"/>
        </w:rPr>
      </w:pPr>
      <w:r w:rsidRPr="00F715E7">
        <w:rPr>
          <w:szCs w:val="24"/>
        </w:rPr>
        <w:t>1. Son derechos de los partidos políticos:</w:t>
      </w:r>
    </w:p>
    <w:p w14:paraId="0065DDEE" w14:textId="77777777" w:rsidR="00FF7765" w:rsidRPr="00F715E7" w:rsidRDefault="00FF7765" w:rsidP="001E1EF8">
      <w:pPr>
        <w:pStyle w:val="Prrafodelista"/>
        <w:spacing w:before="0" w:after="0" w:line="240" w:lineRule="auto"/>
        <w:ind w:right="476"/>
        <w:rPr>
          <w:szCs w:val="24"/>
        </w:rPr>
      </w:pPr>
      <w:r w:rsidRPr="00F715E7">
        <w:rPr>
          <w:szCs w:val="24"/>
        </w:rPr>
        <w:t>d) Acceder a las prerrogativas y recibir el financiamiento público en los términos del artículo 41 de la Constitución, esta Ley y demás leyes federales o locales aplicables.</w:t>
      </w:r>
    </w:p>
    <w:p w14:paraId="7401E4B8" w14:textId="4A3385FB" w:rsidR="00FF7765" w:rsidRPr="00F715E7" w:rsidRDefault="00FF7765" w:rsidP="003D16E4">
      <w:pPr>
        <w:pStyle w:val="Prrafodelista"/>
        <w:spacing w:before="0" w:after="0" w:line="240" w:lineRule="auto"/>
        <w:ind w:right="476"/>
        <w:rPr>
          <w:b/>
          <w:bCs/>
          <w:szCs w:val="24"/>
        </w:rPr>
      </w:pPr>
      <w:r w:rsidRPr="00F715E7">
        <w:rPr>
          <w:b/>
          <w:szCs w:val="24"/>
        </w:rPr>
        <w:t>En las entidades federativas donde exista financiamiento local para los partidos políticos nacionales que participen en las elecciones locales de la entidad, las leyes locales no podrán establecer limitaciones a dicho financiamiento, ni reducirlo por el financiamiento que reciban de sus dirigencias nacionales;</w:t>
      </w:r>
      <w:r w:rsidR="003D16E4" w:rsidRPr="00F715E7">
        <w:rPr>
          <w:b/>
          <w:szCs w:val="24"/>
        </w:rPr>
        <w:t xml:space="preserve"> […]</w:t>
      </w:r>
      <w:r w:rsidR="003D16E4" w:rsidRPr="00F715E7">
        <w:rPr>
          <w:i/>
          <w:iCs/>
          <w:szCs w:val="24"/>
        </w:rPr>
        <w:t xml:space="preserve"> </w:t>
      </w:r>
      <w:r w:rsidR="003D16E4" w:rsidRPr="00F715E7">
        <w:rPr>
          <w:b/>
          <w:bCs/>
          <w:szCs w:val="24"/>
        </w:rPr>
        <w:t>(é</w:t>
      </w:r>
      <w:r w:rsidRPr="00F715E7">
        <w:rPr>
          <w:b/>
          <w:bCs/>
          <w:szCs w:val="24"/>
        </w:rPr>
        <w:t>nfasis añadido</w:t>
      </w:r>
      <w:r w:rsidR="003D16E4" w:rsidRPr="00F715E7">
        <w:rPr>
          <w:b/>
          <w:bCs/>
          <w:szCs w:val="24"/>
        </w:rPr>
        <w:t>)</w:t>
      </w:r>
    </w:p>
    <w:p w14:paraId="5B215035" w14:textId="77777777" w:rsidR="003D16E4" w:rsidRPr="00F715E7" w:rsidRDefault="003D16E4" w:rsidP="001E1EF8">
      <w:pPr>
        <w:pStyle w:val="Prrafodelista"/>
        <w:spacing w:before="0" w:after="0" w:line="240" w:lineRule="auto"/>
        <w:ind w:right="476"/>
        <w:rPr>
          <w:b/>
          <w:bCs/>
          <w:szCs w:val="24"/>
        </w:rPr>
      </w:pPr>
    </w:p>
    <w:p w14:paraId="2C76BEC0" w14:textId="056F4061" w:rsidR="00FF7765" w:rsidRPr="00F715E7" w:rsidRDefault="001B0841"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Ello</w:t>
      </w:r>
      <w:r w:rsidR="00FF7765" w:rsidRPr="00F715E7">
        <w:rPr>
          <w:sz w:val="26"/>
          <w:szCs w:val="26"/>
          <w:lang w:val="es-ES_tradnl"/>
        </w:rPr>
        <w:t xml:space="preserve"> porque la reducción del financiamiento público, en el caso de los partidos políticos nacionales que contienden en el Estado de Veracruz no se basa en el financiamiento público que las dirigencias nacionales reciben, sino en el diferente posicionamiento frente a la ciudadanía por la fuerza nacional que representan.</w:t>
      </w:r>
    </w:p>
    <w:p w14:paraId="18058BA1" w14:textId="77777777" w:rsidR="00625A5F" w:rsidRPr="00F715E7" w:rsidRDefault="00625A5F" w:rsidP="0098787A">
      <w:pPr>
        <w:pStyle w:val="Estilo1"/>
        <w:numPr>
          <w:ilvl w:val="0"/>
          <w:numId w:val="0"/>
        </w:numPr>
        <w:tabs>
          <w:tab w:val="left" w:pos="567"/>
        </w:tabs>
        <w:spacing w:before="0" w:after="0"/>
        <w:rPr>
          <w:sz w:val="26"/>
          <w:szCs w:val="26"/>
          <w:lang w:val="es-ES_tradnl"/>
        </w:rPr>
      </w:pPr>
    </w:p>
    <w:p w14:paraId="096E703A" w14:textId="2549EA39" w:rsidR="00FF7765" w:rsidRPr="00F715E7" w:rsidRDefault="00FF7765"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Tampoco </w:t>
      </w:r>
      <w:r w:rsidR="001B0841" w:rsidRPr="00F715E7">
        <w:rPr>
          <w:sz w:val="26"/>
          <w:szCs w:val="26"/>
          <w:lang w:val="es-ES_tradnl"/>
        </w:rPr>
        <w:t>existe antinomia con</w:t>
      </w:r>
      <w:r w:rsidRPr="00F715E7">
        <w:rPr>
          <w:sz w:val="26"/>
          <w:szCs w:val="26"/>
          <w:lang w:val="es-ES_tradnl"/>
        </w:rPr>
        <w:t xml:space="preserve"> el artículo 51 de la Ley General de Partidos Políticos, porque dicha norma se refiere exclusivamente al financiamiento público </w:t>
      </w:r>
      <w:r w:rsidR="0067432F" w:rsidRPr="00F715E7">
        <w:rPr>
          <w:sz w:val="26"/>
          <w:szCs w:val="26"/>
          <w:lang w:val="es-ES_tradnl"/>
        </w:rPr>
        <w:t xml:space="preserve">estatal </w:t>
      </w:r>
      <w:r w:rsidRPr="00F715E7">
        <w:rPr>
          <w:sz w:val="26"/>
          <w:szCs w:val="26"/>
          <w:lang w:val="es-ES_tradnl"/>
        </w:rPr>
        <w:t>de los partidos políticos locales y al financiamiento público federal de los partidos nacionales que contienden en las elecciones federales, mas no al financiamiento estatal de los partidos políticos nacionales.</w:t>
      </w:r>
    </w:p>
    <w:p w14:paraId="1FAB4714" w14:textId="77777777" w:rsidR="00625A5F" w:rsidRPr="00F715E7" w:rsidRDefault="00625A5F" w:rsidP="0098787A">
      <w:pPr>
        <w:pStyle w:val="Estilo1"/>
        <w:numPr>
          <w:ilvl w:val="0"/>
          <w:numId w:val="0"/>
        </w:numPr>
        <w:tabs>
          <w:tab w:val="left" w:pos="567"/>
        </w:tabs>
        <w:spacing w:before="0" w:after="0"/>
        <w:rPr>
          <w:sz w:val="26"/>
          <w:szCs w:val="26"/>
          <w:lang w:val="es-ES_tradnl"/>
        </w:rPr>
      </w:pPr>
    </w:p>
    <w:p w14:paraId="6630EC5F" w14:textId="2083367E" w:rsidR="00B248D1" w:rsidRPr="00F715E7" w:rsidRDefault="00B10139"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En consecuencia, ante la libertad de configuración que tienen las entidades federativas, conforme al artículo 116, fracción </w:t>
      </w:r>
      <w:r w:rsidR="0099430F" w:rsidRPr="00F715E7">
        <w:rPr>
          <w:sz w:val="26"/>
          <w:szCs w:val="26"/>
          <w:lang w:val="es-ES_tradnl"/>
        </w:rPr>
        <w:t xml:space="preserve">IV, inciso g), de la Constitución Política de los Estados Unidos Mexicanos, en relación con el </w:t>
      </w:r>
      <w:r w:rsidR="0095017F">
        <w:rPr>
          <w:sz w:val="26"/>
          <w:szCs w:val="26"/>
          <w:lang w:val="es-ES_tradnl"/>
        </w:rPr>
        <w:t>diverso</w:t>
      </w:r>
      <w:r w:rsidR="0099430F" w:rsidRPr="00F715E7">
        <w:rPr>
          <w:sz w:val="26"/>
          <w:szCs w:val="26"/>
          <w:lang w:val="es-ES_tradnl"/>
        </w:rPr>
        <w:t xml:space="preserve"> 52, punto 2, de la Ley General de Partidos Políticos, se consideran </w:t>
      </w:r>
      <w:r w:rsidR="0099430F" w:rsidRPr="00F715E7">
        <w:rPr>
          <w:b/>
          <w:bCs/>
          <w:sz w:val="26"/>
          <w:szCs w:val="26"/>
          <w:lang w:val="es-ES_tradnl"/>
        </w:rPr>
        <w:t>infundados</w:t>
      </w:r>
      <w:r w:rsidR="0099430F" w:rsidRPr="00F715E7">
        <w:rPr>
          <w:sz w:val="26"/>
          <w:szCs w:val="26"/>
          <w:lang w:val="es-ES_tradnl"/>
        </w:rPr>
        <w:t xml:space="preserve"> los conceptos de </w:t>
      </w:r>
      <w:r w:rsidR="00B248D1" w:rsidRPr="00F715E7">
        <w:rPr>
          <w:sz w:val="26"/>
          <w:szCs w:val="26"/>
          <w:lang w:val="es-ES_tradnl"/>
        </w:rPr>
        <w:t>invalidez</w:t>
      </w:r>
      <w:r w:rsidR="0099430F" w:rsidRPr="00F715E7">
        <w:rPr>
          <w:sz w:val="26"/>
          <w:szCs w:val="26"/>
          <w:lang w:val="es-ES_tradnl"/>
        </w:rPr>
        <w:t xml:space="preserve"> esgrimidos por los demandantes.</w:t>
      </w:r>
    </w:p>
    <w:p w14:paraId="3EB73982" w14:textId="77777777" w:rsidR="00B248D1" w:rsidRPr="00F715E7" w:rsidRDefault="00B248D1" w:rsidP="0098787A">
      <w:pPr>
        <w:pStyle w:val="Estilo1"/>
        <w:numPr>
          <w:ilvl w:val="0"/>
          <w:numId w:val="0"/>
        </w:numPr>
        <w:tabs>
          <w:tab w:val="left" w:pos="567"/>
        </w:tabs>
        <w:spacing w:before="0" w:after="0"/>
        <w:rPr>
          <w:sz w:val="26"/>
          <w:szCs w:val="26"/>
          <w:lang w:val="es-ES_tradnl"/>
        </w:rPr>
      </w:pPr>
    </w:p>
    <w:p w14:paraId="05E810FC" w14:textId="77777777" w:rsidR="00D23BCC" w:rsidRPr="00F715E7" w:rsidRDefault="0028680B" w:rsidP="00D23BCC">
      <w:pPr>
        <w:pStyle w:val="Estilo1"/>
        <w:numPr>
          <w:ilvl w:val="0"/>
          <w:numId w:val="6"/>
        </w:numPr>
        <w:tabs>
          <w:tab w:val="left" w:pos="567"/>
        </w:tabs>
        <w:spacing w:before="0" w:after="0"/>
        <w:ind w:left="0"/>
        <w:rPr>
          <w:sz w:val="26"/>
          <w:szCs w:val="26"/>
          <w:lang w:val="es-ES_tradnl"/>
        </w:rPr>
      </w:pPr>
      <w:r w:rsidRPr="00F715E7">
        <w:rPr>
          <w:sz w:val="26"/>
          <w:szCs w:val="26"/>
        </w:rPr>
        <w:lastRenderedPageBreak/>
        <w:t xml:space="preserve">Derivado de lo expuesto, resultan también </w:t>
      </w:r>
      <w:r w:rsidRPr="00F715E7">
        <w:rPr>
          <w:b/>
          <w:sz w:val="26"/>
          <w:szCs w:val="26"/>
        </w:rPr>
        <w:t xml:space="preserve">infundados, </w:t>
      </w:r>
      <w:r w:rsidRPr="00F715E7">
        <w:rPr>
          <w:sz w:val="26"/>
          <w:szCs w:val="26"/>
        </w:rPr>
        <w:t>los restantes argumentos esgrimidos por los accionantes relativos a que, la reforma impugnada no está debidamente fundada ni motivada, violando con ello los principios de certeza, legalidad y objetividad que debe regir la vida democrática del país</w:t>
      </w:r>
      <w:r w:rsidR="003D16E4" w:rsidRPr="00F715E7">
        <w:rPr>
          <w:sz w:val="26"/>
          <w:szCs w:val="26"/>
        </w:rPr>
        <w:t xml:space="preserve">. </w:t>
      </w:r>
    </w:p>
    <w:p w14:paraId="32E05722" w14:textId="77777777" w:rsidR="00D23BCC" w:rsidRPr="00F715E7" w:rsidRDefault="00D23BCC" w:rsidP="001E1EF8">
      <w:pPr>
        <w:pStyle w:val="Prrafodelista"/>
        <w:spacing w:before="0" w:after="0"/>
        <w:rPr>
          <w:sz w:val="26"/>
          <w:szCs w:val="26"/>
        </w:rPr>
      </w:pPr>
    </w:p>
    <w:p w14:paraId="5D67F9EA" w14:textId="43DFDF7F" w:rsidR="0028680B" w:rsidRPr="00F715E7" w:rsidRDefault="003D16E4" w:rsidP="00D23BCC">
      <w:pPr>
        <w:pStyle w:val="Estilo1"/>
        <w:numPr>
          <w:ilvl w:val="0"/>
          <w:numId w:val="6"/>
        </w:numPr>
        <w:tabs>
          <w:tab w:val="left" w:pos="567"/>
        </w:tabs>
        <w:spacing w:before="0" w:after="0"/>
        <w:ind w:left="0"/>
        <w:rPr>
          <w:sz w:val="26"/>
          <w:szCs w:val="26"/>
          <w:lang w:val="es-ES_tradnl"/>
        </w:rPr>
      </w:pPr>
      <w:r w:rsidRPr="00F715E7">
        <w:rPr>
          <w:sz w:val="26"/>
          <w:szCs w:val="26"/>
        </w:rPr>
        <w:t>Tampoco se observa que se</w:t>
      </w:r>
      <w:r w:rsidR="0028680B" w:rsidRPr="00F715E7">
        <w:rPr>
          <w:sz w:val="26"/>
          <w:szCs w:val="26"/>
        </w:rPr>
        <w:t xml:space="preserve"> limit</w:t>
      </w:r>
      <w:r w:rsidRPr="00F715E7">
        <w:rPr>
          <w:sz w:val="26"/>
          <w:szCs w:val="26"/>
        </w:rPr>
        <w:t>en</w:t>
      </w:r>
      <w:r w:rsidR="0028680B" w:rsidRPr="00F715E7">
        <w:rPr>
          <w:sz w:val="26"/>
          <w:szCs w:val="26"/>
        </w:rPr>
        <w:t xml:space="preserve"> las condiciones para el debido ejercicio de los derechos de asociación</w:t>
      </w:r>
      <w:r w:rsidR="00E342A7" w:rsidRPr="00F715E7">
        <w:rPr>
          <w:sz w:val="26"/>
          <w:szCs w:val="26"/>
        </w:rPr>
        <w:t>. Ni se</w:t>
      </w:r>
      <w:r w:rsidR="0028680B" w:rsidRPr="00F715E7">
        <w:rPr>
          <w:sz w:val="26"/>
          <w:szCs w:val="26"/>
        </w:rPr>
        <w:t xml:space="preserve"> restringe</w:t>
      </w:r>
      <w:r w:rsidR="00E342A7" w:rsidRPr="00F715E7">
        <w:rPr>
          <w:sz w:val="26"/>
          <w:szCs w:val="26"/>
        </w:rPr>
        <w:t>n</w:t>
      </w:r>
      <w:r w:rsidR="0028680B" w:rsidRPr="00F715E7">
        <w:rPr>
          <w:sz w:val="26"/>
          <w:szCs w:val="26"/>
        </w:rPr>
        <w:t xml:space="preserve"> los derechos de los partidos políticos de forma directa y a los ciudadanos mexicanos de forma indirecta, como son</w:t>
      </w:r>
      <w:r w:rsidR="00E342A7" w:rsidRPr="00F715E7">
        <w:rPr>
          <w:sz w:val="26"/>
          <w:szCs w:val="26"/>
        </w:rPr>
        <w:t xml:space="preserve"> la</w:t>
      </w:r>
      <w:r w:rsidR="0028680B" w:rsidRPr="00F715E7">
        <w:rPr>
          <w:sz w:val="26"/>
          <w:szCs w:val="26"/>
        </w:rPr>
        <w:t xml:space="preserve"> disminución de la oferta política; carencia de oportunidades de participación; </w:t>
      </w:r>
      <w:r w:rsidR="00E342A7" w:rsidRPr="00F715E7">
        <w:rPr>
          <w:sz w:val="26"/>
          <w:szCs w:val="26"/>
        </w:rPr>
        <w:t xml:space="preserve">el </w:t>
      </w:r>
      <w:r w:rsidR="0028680B" w:rsidRPr="00F715E7">
        <w:rPr>
          <w:sz w:val="26"/>
          <w:szCs w:val="26"/>
        </w:rPr>
        <w:t xml:space="preserve">nugatorio el ejercicio del derecho público; </w:t>
      </w:r>
      <w:r w:rsidR="00E342A7" w:rsidRPr="00F715E7">
        <w:rPr>
          <w:sz w:val="26"/>
          <w:szCs w:val="26"/>
        </w:rPr>
        <w:t xml:space="preserve">la </w:t>
      </w:r>
      <w:r w:rsidR="0028680B" w:rsidRPr="00F715E7">
        <w:rPr>
          <w:sz w:val="26"/>
          <w:szCs w:val="26"/>
        </w:rPr>
        <w:t xml:space="preserve">restricción de ejercicio de votar en elecciones populares; </w:t>
      </w:r>
      <w:r w:rsidR="00E342A7" w:rsidRPr="00F715E7">
        <w:rPr>
          <w:sz w:val="26"/>
          <w:szCs w:val="26"/>
        </w:rPr>
        <w:t xml:space="preserve">la </w:t>
      </w:r>
      <w:r w:rsidR="0028680B" w:rsidRPr="00F715E7">
        <w:rPr>
          <w:sz w:val="26"/>
          <w:szCs w:val="26"/>
        </w:rPr>
        <w:t xml:space="preserve">restricción de ejercicio de poder ser votado en cargos de elección popular; </w:t>
      </w:r>
      <w:r w:rsidR="00E342A7" w:rsidRPr="00F715E7">
        <w:rPr>
          <w:sz w:val="26"/>
          <w:szCs w:val="26"/>
        </w:rPr>
        <w:t xml:space="preserve">ni la </w:t>
      </w:r>
      <w:r w:rsidR="0028680B" w:rsidRPr="00F715E7">
        <w:rPr>
          <w:sz w:val="26"/>
          <w:szCs w:val="26"/>
        </w:rPr>
        <w:t>restricción del derecho de asociación individual y libre para tomar parte de los asuntos políticos del país.</w:t>
      </w:r>
    </w:p>
    <w:p w14:paraId="6C760C15" w14:textId="77777777" w:rsidR="0028680B" w:rsidRPr="00F715E7" w:rsidRDefault="0028680B" w:rsidP="0098787A">
      <w:pPr>
        <w:pStyle w:val="Estilo1"/>
        <w:numPr>
          <w:ilvl w:val="0"/>
          <w:numId w:val="0"/>
        </w:numPr>
        <w:tabs>
          <w:tab w:val="left" w:pos="567"/>
        </w:tabs>
        <w:spacing w:before="0" w:after="0"/>
        <w:rPr>
          <w:sz w:val="26"/>
          <w:szCs w:val="26"/>
          <w:lang w:val="es-ES_tradnl"/>
        </w:rPr>
      </w:pPr>
    </w:p>
    <w:p w14:paraId="6CC12962" w14:textId="35A92E12" w:rsidR="00D23BCC" w:rsidRPr="00F715E7" w:rsidRDefault="0028680B" w:rsidP="0098787A">
      <w:pPr>
        <w:pStyle w:val="Estilo1"/>
        <w:numPr>
          <w:ilvl w:val="0"/>
          <w:numId w:val="6"/>
        </w:numPr>
        <w:tabs>
          <w:tab w:val="left" w:pos="567"/>
        </w:tabs>
        <w:spacing w:before="0" w:after="0"/>
        <w:ind w:left="0"/>
        <w:rPr>
          <w:sz w:val="26"/>
          <w:szCs w:val="26"/>
        </w:rPr>
      </w:pPr>
      <w:r w:rsidRPr="00F715E7">
        <w:rPr>
          <w:sz w:val="26"/>
          <w:szCs w:val="26"/>
        </w:rPr>
        <w:t xml:space="preserve">Lo anterior, </w:t>
      </w:r>
      <w:r w:rsidR="00E342A7" w:rsidRPr="00F715E7">
        <w:rPr>
          <w:sz w:val="26"/>
          <w:szCs w:val="26"/>
        </w:rPr>
        <w:t>ya</w:t>
      </w:r>
      <w:r w:rsidRPr="00F715E7">
        <w:rPr>
          <w:sz w:val="26"/>
          <w:szCs w:val="26"/>
        </w:rPr>
        <w:t xml:space="preserve"> que, contrario a lo aducido por los accionantes, </w:t>
      </w:r>
      <w:r w:rsidR="00E342A7" w:rsidRPr="00F715E7">
        <w:rPr>
          <w:sz w:val="26"/>
          <w:szCs w:val="26"/>
        </w:rPr>
        <w:t>no se advierte de</w:t>
      </w:r>
      <w:r w:rsidRPr="00F715E7">
        <w:rPr>
          <w:sz w:val="26"/>
          <w:szCs w:val="26"/>
        </w:rPr>
        <w:t xml:space="preserve"> forma alguna una vulneración a los derechos que aluden en atención al régimen diferenciado entre los partidos políticos nacionales y estatales, para sus actividades ordinarias</w:t>
      </w:r>
      <w:r w:rsidR="00E342A7" w:rsidRPr="00F715E7">
        <w:rPr>
          <w:sz w:val="26"/>
          <w:szCs w:val="26"/>
        </w:rPr>
        <w:t>.</w:t>
      </w:r>
      <w:r w:rsidRPr="00F715E7">
        <w:rPr>
          <w:sz w:val="26"/>
          <w:szCs w:val="26"/>
        </w:rPr>
        <w:t xml:space="preserve"> </w:t>
      </w:r>
    </w:p>
    <w:p w14:paraId="2DACF3B5" w14:textId="77777777" w:rsidR="00D23BCC" w:rsidRPr="00F715E7" w:rsidRDefault="00D23BCC" w:rsidP="001E1EF8">
      <w:pPr>
        <w:pStyle w:val="Estilo1"/>
        <w:numPr>
          <w:ilvl w:val="0"/>
          <w:numId w:val="0"/>
        </w:numPr>
        <w:tabs>
          <w:tab w:val="left" w:pos="567"/>
        </w:tabs>
        <w:spacing w:before="0" w:after="0"/>
        <w:rPr>
          <w:sz w:val="26"/>
          <w:szCs w:val="26"/>
        </w:rPr>
      </w:pPr>
    </w:p>
    <w:p w14:paraId="7ACE4239" w14:textId="2739A213" w:rsidR="0028680B" w:rsidRPr="00F715E7" w:rsidRDefault="00E342A7" w:rsidP="0098787A">
      <w:pPr>
        <w:pStyle w:val="Estilo1"/>
        <w:numPr>
          <w:ilvl w:val="0"/>
          <w:numId w:val="6"/>
        </w:numPr>
        <w:tabs>
          <w:tab w:val="left" w:pos="567"/>
        </w:tabs>
        <w:spacing w:before="0" w:after="0"/>
        <w:ind w:left="0"/>
        <w:rPr>
          <w:sz w:val="26"/>
          <w:szCs w:val="26"/>
        </w:rPr>
      </w:pPr>
      <w:r w:rsidRPr="00F715E7">
        <w:rPr>
          <w:sz w:val="26"/>
          <w:szCs w:val="26"/>
        </w:rPr>
        <w:t>C</w:t>
      </w:r>
      <w:r w:rsidR="0028680B" w:rsidRPr="00F715E7">
        <w:rPr>
          <w:sz w:val="26"/>
          <w:szCs w:val="26"/>
        </w:rPr>
        <w:t>omo se señaló las entidades federativas tienen libertad de configuración, siempre y cuando se cumpla con lo establecido en la Constitución Federal y la Ley General de Partidos Políticos, que facultan a las legislaturas estatales a regular lo relativo al financiamiento y su distribución, para lo cual deben garantizar que los partidos políticos reciban, de manera equitativa, financiamiento público para sus actividades ordinarias permanentes, lo que contempla el precepto impugnado</w:t>
      </w:r>
      <w:r w:rsidRPr="00F715E7">
        <w:rPr>
          <w:sz w:val="26"/>
          <w:szCs w:val="26"/>
        </w:rPr>
        <w:t>. Se</w:t>
      </w:r>
      <w:r w:rsidR="0028680B" w:rsidRPr="00F715E7">
        <w:rPr>
          <w:sz w:val="26"/>
          <w:szCs w:val="26"/>
        </w:rPr>
        <w:t xml:space="preserve"> destaca que incluso todos los argumentos mencionados, se realizan de manera genérica </w:t>
      </w:r>
      <w:r w:rsidR="0028680B" w:rsidRPr="00F715E7">
        <w:rPr>
          <w:sz w:val="26"/>
          <w:szCs w:val="26"/>
        </w:rPr>
        <w:lastRenderedPageBreak/>
        <w:t>sin precisar claramente, la forma en la que se vulneran los derechos que menciona</w:t>
      </w:r>
      <w:r w:rsidRPr="00F715E7">
        <w:rPr>
          <w:sz w:val="26"/>
          <w:szCs w:val="26"/>
        </w:rPr>
        <w:t>n</w:t>
      </w:r>
      <w:r w:rsidR="0028680B" w:rsidRPr="00F715E7">
        <w:rPr>
          <w:sz w:val="26"/>
          <w:szCs w:val="26"/>
        </w:rPr>
        <w:t xml:space="preserve">. </w:t>
      </w:r>
    </w:p>
    <w:p w14:paraId="55CF77B9" w14:textId="77777777" w:rsidR="0028680B" w:rsidRPr="00F715E7" w:rsidRDefault="0028680B" w:rsidP="0098787A">
      <w:pPr>
        <w:pStyle w:val="corte4fondo"/>
        <w:rPr>
          <w:rFonts w:cs="Arial"/>
          <w:sz w:val="26"/>
          <w:szCs w:val="26"/>
        </w:rPr>
      </w:pPr>
    </w:p>
    <w:p w14:paraId="1330C728" w14:textId="5896E4B2" w:rsidR="0028680B" w:rsidRPr="00F715E7" w:rsidRDefault="0028680B" w:rsidP="0098787A">
      <w:pPr>
        <w:pStyle w:val="Estilo1"/>
        <w:numPr>
          <w:ilvl w:val="0"/>
          <w:numId w:val="6"/>
        </w:numPr>
        <w:tabs>
          <w:tab w:val="left" w:pos="567"/>
        </w:tabs>
        <w:spacing w:before="0" w:after="0"/>
        <w:ind w:left="0"/>
        <w:rPr>
          <w:sz w:val="26"/>
          <w:szCs w:val="26"/>
        </w:rPr>
      </w:pPr>
      <w:r w:rsidRPr="00F715E7">
        <w:rPr>
          <w:sz w:val="26"/>
          <w:szCs w:val="26"/>
        </w:rPr>
        <w:t xml:space="preserve">Finalmente, de igual forma son </w:t>
      </w:r>
      <w:r w:rsidRPr="00F715E7">
        <w:rPr>
          <w:b/>
          <w:sz w:val="26"/>
          <w:szCs w:val="26"/>
        </w:rPr>
        <w:t>infundados</w:t>
      </w:r>
      <w:r w:rsidRPr="00F715E7">
        <w:rPr>
          <w:sz w:val="26"/>
          <w:szCs w:val="26"/>
        </w:rPr>
        <w:t xml:space="preserve"> los argumentos en los que señalan que no existe certeza sobre qué financiamiento deben recibir los partidos políticos ya que se deja de lado su distinción</w:t>
      </w:r>
      <w:r w:rsidR="00E342A7" w:rsidRPr="00F715E7">
        <w:rPr>
          <w:sz w:val="26"/>
          <w:szCs w:val="26"/>
        </w:rPr>
        <w:t>.</w:t>
      </w:r>
      <w:r w:rsidRPr="00F715E7">
        <w:rPr>
          <w:sz w:val="26"/>
          <w:szCs w:val="26"/>
        </w:rPr>
        <w:t xml:space="preserve"> </w:t>
      </w:r>
      <w:r w:rsidR="00E342A7" w:rsidRPr="00F715E7">
        <w:rPr>
          <w:sz w:val="26"/>
          <w:szCs w:val="26"/>
        </w:rPr>
        <w:t>L</w:t>
      </w:r>
      <w:r w:rsidRPr="00F715E7">
        <w:rPr>
          <w:sz w:val="26"/>
          <w:szCs w:val="26"/>
        </w:rPr>
        <w:t>o anterior, toda vez que el legislador se refiere al financiamiento público local y no pretende regular el federal</w:t>
      </w:r>
      <w:r w:rsidR="00E342A7" w:rsidRPr="00F715E7">
        <w:rPr>
          <w:sz w:val="26"/>
          <w:szCs w:val="26"/>
        </w:rPr>
        <w:t>.</w:t>
      </w:r>
      <w:r w:rsidRPr="00F715E7">
        <w:rPr>
          <w:sz w:val="26"/>
          <w:szCs w:val="26"/>
        </w:rPr>
        <w:t xml:space="preserve"> </w:t>
      </w:r>
      <w:r w:rsidR="00E342A7" w:rsidRPr="00F715E7">
        <w:rPr>
          <w:sz w:val="26"/>
          <w:szCs w:val="26"/>
        </w:rPr>
        <w:t>D</w:t>
      </w:r>
      <w:r w:rsidRPr="00F715E7">
        <w:rPr>
          <w:sz w:val="26"/>
          <w:szCs w:val="26"/>
        </w:rPr>
        <w:t>e ahí que, sí existe certeza sobre el financiamiento que recibirán los partidos políticos nacionales y locales.</w:t>
      </w:r>
    </w:p>
    <w:p w14:paraId="5154FFEE" w14:textId="77777777" w:rsidR="0028680B" w:rsidRPr="00F715E7" w:rsidRDefault="0028680B" w:rsidP="0098787A">
      <w:pPr>
        <w:pStyle w:val="Estilo1"/>
        <w:numPr>
          <w:ilvl w:val="0"/>
          <w:numId w:val="0"/>
        </w:numPr>
        <w:tabs>
          <w:tab w:val="left" w:pos="567"/>
        </w:tabs>
        <w:spacing w:before="0" w:after="0"/>
        <w:rPr>
          <w:sz w:val="26"/>
          <w:szCs w:val="26"/>
        </w:rPr>
      </w:pPr>
    </w:p>
    <w:p w14:paraId="523B6352" w14:textId="2F402B02" w:rsidR="00257864" w:rsidRPr="00F715E7" w:rsidRDefault="00E342A7" w:rsidP="0098787A">
      <w:pPr>
        <w:pStyle w:val="Estilo1"/>
        <w:numPr>
          <w:ilvl w:val="0"/>
          <w:numId w:val="6"/>
        </w:numPr>
        <w:tabs>
          <w:tab w:val="left" w:pos="567"/>
        </w:tabs>
        <w:spacing w:before="0" w:after="0"/>
        <w:ind w:left="0"/>
        <w:rPr>
          <w:sz w:val="26"/>
          <w:szCs w:val="26"/>
        </w:rPr>
      </w:pPr>
      <w:r w:rsidRPr="00F715E7">
        <w:rPr>
          <w:sz w:val="26"/>
          <w:szCs w:val="26"/>
        </w:rPr>
        <w:t>Además, se considera que no son aplicables los razonamientos derivados de</w:t>
      </w:r>
      <w:r w:rsidR="00F67501" w:rsidRPr="00F715E7">
        <w:rPr>
          <w:sz w:val="26"/>
          <w:szCs w:val="26"/>
        </w:rPr>
        <w:t xml:space="preserve"> la</w:t>
      </w:r>
      <w:r w:rsidR="00257864" w:rsidRPr="00F715E7">
        <w:rPr>
          <w:sz w:val="26"/>
          <w:szCs w:val="26"/>
        </w:rPr>
        <w:t>s</w:t>
      </w:r>
      <w:r w:rsidR="00F67501" w:rsidRPr="00F715E7">
        <w:rPr>
          <w:sz w:val="26"/>
          <w:szCs w:val="26"/>
        </w:rPr>
        <w:t xml:space="preserve"> </w:t>
      </w:r>
      <w:r w:rsidR="00333D43">
        <w:rPr>
          <w:sz w:val="26"/>
          <w:szCs w:val="26"/>
        </w:rPr>
        <w:t>a</w:t>
      </w:r>
      <w:r w:rsidR="00F67501" w:rsidRPr="00F715E7">
        <w:rPr>
          <w:sz w:val="26"/>
          <w:szCs w:val="26"/>
        </w:rPr>
        <w:t>cci</w:t>
      </w:r>
      <w:r w:rsidR="00257864" w:rsidRPr="00F715E7">
        <w:rPr>
          <w:sz w:val="26"/>
          <w:szCs w:val="26"/>
        </w:rPr>
        <w:t>ones</w:t>
      </w:r>
      <w:r w:rsidR="00F67501" w:rsidRPr="00F715E7">
        <w:rPr>
          <w:sz w:val="26"/>
          <w:szCs w:val="26"/>
        </w:rPr>
        <w:t xml:space="preserve"> de </w:t>
      </w:r>
      <w:r w:rsidR="00333D43">
        <w:rPr>
          <w:sz w:val="26"/>
          <w:szCs w:val="26"/>
        </w:rPr>
        <w:t>i</w:t>
      </w:r>
      <w:r w:rsidR="00F67501" w:rsidRPr="00F715E7">
        <w:rPr>
          <w:sz w:val="26"/>
          <w:szCs w:val="26"/>
        </w:rPr>
        <w:t>nconstitucionalidad que citan los partidos demandantes</w:t>
      </w:r>
      <w:r w:rsidRPr="00F715E7">
        <w:rPr>
          <w:sz w:val="26"/>
          <w:szCs w:val="26"/>
        </w:rPr>
        <w:t>.</w:t>
      </w:r>
      <w:r w:rsidR="00F67501" w:rsidRPr="00F715E7">
        <w:rPr>
          <w:sz w:val="26"/>
          <w:szCs w:val="26"/>
        </w:rPr>
        <w:t xml:space="preserve"> </w:t>
      </w:r>
      <w:r w:rsidRPr="00F715E7">
        <w:rPr>
          <w:sz w:val="26"/>
          <w:szCs w:val="26"/>
        </w:rPr>
        <w:t xml:space="preserve">En la </w:t>
      </w:r>
      <w:r w:rsidR="00333D43">
        <w:rPr>
          <w:sz w:val="26"/>
          <w:szCs w:val="26"/>
        </w:rPr>
        <w:t>a</w:t>
      </w:r>
      <w:r w:rsidRPr="00F715E7">
        <w:rPr>
          <w:sz w:val="26"/>
          <w:szCs w:val="26"/>
        </w:rPr>
        <w:t xml:space="preserve">cción de </w:t>
      </w:r>
      <w:r w:rsidR="00333D43">
        <w:rPr>
          <w:sz w:val="26"/>
          <w:szCs w:val="26"/>
        </w:rPr>
        <w:t>i</w:t>
      </w:r>
      <w:r w:rsidRPr="00F715E7">
        <w:rPr>
          <w:sz w:val="26"/>
          <w:szCs w:val="26"/>
        </w:rPr>
        <w:t>nconstitucionalidad</w:t>
      </w:r>
      <w:r w:rsidR="00F67501" w:rsidRPr="00F715E7">
        <w:rPr>
          <w:sz w:val="26"/>
          <w:szCs w:val="26"/>
        </w:rPr>
        <w:t xml:space="preserve"> </w:t>
      </w:r>
      <w:r w:rsidR="00F67501" w:rsidRPr="00F715E7">
        <w:rPr>
          <w:b/>
          <w:bCs/>
          <w:sz w:val="26"/>
          <w:szCs w:val="26"/>
        </w:rPr>
        <w:t>5/201</w:t>
      </w:r>
      <w:r w:rsidR="00257864" w:rsidRPr="00F715E7">
        <w:rPr>
          <w:b/>
          <w:bCs/>
          <w:sz w:val="26"/>
          <w:szCs w:val="26"/>
        </w:rPr>
        <w:t>5</w:t>
      </w:r>
      <w:r w:rsidR="00F67501" w:rsidRPr="00F715E7">
        <w:rPr>
          <w:sz w:val="26"/>
          <w:szCs w:val="26"/>
        </w:rPr>
        <w:t xml:space="preserve"> </w:t>
      </w:r>
      <w:r w:rsidR="00257864" w:rsidRPr="00F715E7">
        <w:rPr>
          <w:sz w:val="26"/>
          <w:szCs w:val="26"/>
        </w:rPr>
        <w:t>se consideró que si la Norma Fundamental precisa que el partido político local que no obtenga, al menos, el 3% del total de la votación válida emitida en cualquiera de las elecciones que se celebren para la renovación del Poder Ejecutivo o Legislativo locales, le será cancelado el registro, y la Ley General establece que solo los partidos políticos nacionales que hayan obtenido el tres por ciento de la votación válida emitida en el proceso electoral local anterior en la entidad federativa, tendrán derecho a recursos públicos locales</w:t>
      </w:r>
      <w:r w:rsidRPr="00F715E7">
        <w:rPr>
          <w:sz w:val="26"/>
          <w:szCs w:val="26"/>
        </w:rPr>
        <w:t xml:space="preserve">. De ahí que </w:t>
      </w:r>
      <w:r w:rsidR="00257864" w:rsidRPr="00F715E7">
        <w:rPr>
          <w:sz w:val="26"/>
          <w:szCs w:val="26"/>
        </w:rPr>
        <w:t>al haber establecido que el partido político (nacional o local) que haya obtenido el 2.1% de la votación en la última elección ordinaria de Diputados Locales, rompe con dicho esquema.</w:t>
      </w:r>
    </w:p>
    <w:p w14:paraId="0FBC30D9" w14:textId="78161A81" w:rsidR="00257864" w:rsidRPr="00F715E7" w:rsidRDefault="00257864" w:rsidP="0098787A">
      <w:pPr>
        <w:pStyle w:val="Estilo1"/>
        <w:numPr>
          <w:ilvl w:val="0"/>
          <w:numId w:val="0"/>
        </w:numPr>
        <w:tabs>
          <w:tab w:val="left" w:pos="567"/>
        </w:tabs>
        <w:spacing w:before="0" w:after="0"/>
        <w:rPr>
          <w:sz w:val="26"/>
          <w:szCs w:val="26"/>
        </w:rPr>
      </w:pPr>
      <w:r w:rsidRPr="00F715E7">
        <w:rPr>
          <w:sz w:val="26"/>
          <w:szCs w:val="26"/>
        </w:rPr>
        <w:t xml:space="preserve"> </w:t>
      </w:r>
    </w:p>
    <w:p w14:paraId="3145437C" w14:textId="72075FFF" w:rsidR="00F67501" w:rsidRPr="00F715E7" w:rsidRDefault="00257864" w:rsidP="0098787A">
      <w:pPr>
        <w:pStyle w:val="Estilo1"/>
        <w:numPr>
          <w:ilvl w:val="0"/>
          <w:numId w:val="6"/>
        </w:numPr>
        <w:tabs>
          <w:tab w:val="left" w:pos="567"/>
        </w:tabs>
        <w:spacing w:before="0" w:after="0"/>
        <w:ind w:left="0"/>
        <w:rPr>
          <w:sz w:val="26"/>
          <w:szCs w:val="26"/>
        </w:rPr>
      </w:pPr>
      <w:r w:rsidRPr="00F715E7">
        <w:rPr>
          <w:sz w:val="26"/>
          <w:szCs w:val="26"/>
        </w:rPr>
        <w:t xml:space="preserve">Consecuentemente, se determinó que las fracciones I y II del artículo 30 del Código Electoral del Estado de Hidalgo, resultaban violatorias de lo previsto en el </w:t>
      </w:r>
      <w:r w:rsidR="00333D43">
        <w:rPr>
          <w:sz w:val="26"/>
          <w:szCs w:val="26"/>
        </w:rPr>
        <w:t>numeral</w:t>
      </w:r>
      <w:r w:rsidRPr="00F715E7">
        <w:rPr>
          <w:sz w:val="26"/>
          <w:szCs w:val="26"/>
        </w:rPr>
        <w:t xml:space="preserve"> 116, fracción IV, de la Constitución Federal, que establece que las leyes de los Estados en materia electoral deberán ser acordes con las bases establecidas en la propia Norma Fundamental y en las </w:t>
      </w:r>
      <w:r w:rsidRPr="00F715E7">
        <w:rPr>
          <w:sz w:val="26"/>
          <w:szCs w:val="26"/>
        </w:rPr>
        <w:lastRenderedPageBreak/>
        <w:t xml:space="preserve">leyes generales respectivas; en tanto no observa las bases establecidas en los </w:t>
      </w:r>
      <w:r w:rsidR="00333D43">
        <w:rPr>
          <w:sz w:val="26"/>
          <w:szCs w:val="26"/>
        </w:rPr>
        <w:t>diversos</w:t>
      </w:r>
      <w:r w:rsidRPr="00F715E7">
        <w:rPr>
          <w:sz w:val="26"/>
          <w:szCs w:val="26"/>
        </w:rPr>
        <w:t xml:space="preserve"> 51 y 52 de la Ley General de Partidos Políticos; cuestión diversa a la que aquí se plantea.</w:t>
      </w:r>
    </w:p>
    <w:p w14:paraId="1320CACE" w14:textId="77777777" w:rsidR="00257864" w:rsidRPr="00F715E7" w:rsidRDefault="00257864" w:rsidP="0098787A">
      <w:pPr>
        <w:pStyle w:val="Estilo1"/>
        <w:numPr>
          <w:ilvl w:val="0"/>
          <w:numId w:val="0"/>
        </w:numPr>
        <w:tabs>
          <w:tab w:val="left" w:pos="567"/>
        </w:tabs>
        <w:spacing w:before="0" w:after="0"/>
        <w:rPr>
          <w:sz w:val="26"/>
          <w:szCs w:val="26"/>
        </w:rPr>
      </w:pPr>
    </w:p>
    <w:p w14:paraId="493AA824" w14:textId="4509C478" w:rsidR="00F67501" w:rsidRPr="00F715E7" w:rsidRDefault="003C3748"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Tampoco se comparte con los partidos accionantes que la </w:t>
      </w:r>
      <w:r w:rsidR="00B35D83">
        <w:rPr>
          <w:sz w:val="26"/>
          <w:szCs w:val="26"/>
          <w:lang w:val="es-ES_tradnl"/>
        </w:rPr>
        <w:t>a</w:t>
      </w:r>
      <w:r w:rsidR="00F21322" w:rsidRPr="00F715E7">
        <w:rPr>
          <w:sz w:val="26"/>
          <w:szCs w:val="26"/>
          <w:lang w:val="es-ES_tradnl"/>
        </w:rPr>
        <w:t xml:space="preserve">cción </w:t>
      </w:r>
      <w:r w:rsidRPr="00F715E7">
        <w:rPr>
          <w:sz w:val="26"/>
          <w:szCs w:val="26"/>
          <w:lang w:val="es-ES_tradnl"/>
        </w:rPr>
        <w:t xml:space="preserve">de </w:t>
      </w:r>
      <w:r w:rsidR="00B35D83">
        <w:rPr>
          <w:sz w:val="26"/>
          <w:szCs w:val="26"/>
        </w:rPr>
        <w:t>i</w:t>
      </w:r>
      <w:r w:rsidR="00F21322" w:rsidRPr="00F715E7">
        <w:rPr>
          <w:sz w:val="26"/>
          <w:szCs w:val="26"/>
        </w:rPr>
        <w:t>nconstitucionalidad</w:t>
      </w:r>
      <w:r w:rsidR="00F21322" w:rsidRPr="00F715E7">
        <w:rPr>
          <w:sz w:val="26"/>
          <w:szCs w:val="26"/>
          <w:lang w:val="es-ES_tradnl"/>
        </w:rPr>
        <w:t xml:space="preserve"> </w:t>
      </w:r>
      <w:r w:rsidRPr="00F715E7">
        <w:rPr>
          <w:b/>
          <w:bCs/>
          <w:sz w:val="26"/>
          <w:szCs w:val="26"/>
          <w:lang w:val="es-ES_tradnl"/>
        </w:rPr>
        <w:t>100/2018</w:t>
      </w:r>
      <w:r w:rsidRPr="00F715E7">
        <w:rPr>
          <w:sz w:val="26"/>
          <w:szCs w:val="26"/>
          <w:lang w:val="es-ES_tradnl"/>
        </w:rPr>
        <w:t xml:space="preserve"> y sus </w:t>
      </w:r>
      <w:r w:rsidRPr="00F715E7">
        <w:t>acumuladas</w:t>
      </w:r>
      <w:r w:rsidRPr="00F715E7">
        <w:rPr>
          <w:sz w:val="26"/>
          <w:szCs w:val="26"/>
          <w:lang w:val="es-ES_tradnl"/>
        </w:rPr>
        <w:t xml:space="preserve"> </w:t>
      </w:r>
      <w:r w:rsidRPr="00F715E7">
        <w:rPr>
          <w:b/>
          <w:bCs/>
          <w:sz w:val="26"/>
          <w:szCs w:val="26"/>
          <w:lang w:val="es-ES_tradnl"/>
        </w:rPr>
        <w:t>102/2018</w:t>
      </w:r>
      <w:r w:rsidRPr="00F715E7">
        <w:rPr>
          <w:sz w:val="26"/>
          <w:szCs w:val="26"/>
          <w:lang w:val="es-ES_tradnl"/>
        </w:rPr>
        <w:t xml:space="preserve">, </w:t>
      </w:r>
      <w:r w:rsidRPr="00F715E7">
        <w:rPr>
          <w:b/>
          <w:bCs/>
          <w:sz w:val="26"/>
          <w:szCs w:val="26"/>
          <w:lang w:val="es-ES_tradnl"/>
        </w:rPr>
        <w:t>103/2018</w:t>
      </w:r>
      <w:r w:rsidRPr="00F715E7">
        <w:rPr>
          <w:sz w:val="26"/>
          <w:szCs w:val="26"/>
          <w:lang w:val="es-ES_tradnl"/>
        </w:rPr>
        <w:t xml:space="preserve"> y </w:t>
      </w:r>
      <w:r w:rsidRPr="00F715E7">
        <w:rPr>
          <w:b/>
          <w:bCs/>
          <w:sz w:val="26"/>
          <w:szCs w:val="26"/>
          <w:lang w:val="es-ES_tradnl"/>
        </w:rPr>
        <w:t>104/2018</w:t>
      </w:r>
      <w:r w:rsidR="008466B1" w:rsidRPr="00F715E7">
        <w:rPr>
          <w:sz w:val="26"/>
          <w:szCs w:val="26"/>
          <w:lang w:val="es-ES_tradnl"/>
        </w:rPr>
        <w:t>,</w:t>
      </w:r>
      <w:r w:rsidRPr="00F715E7">
        <w:rPr>
          <w:rStyle w:val="Refdenotaalpie"/>
          <w:sz w:val="26"/>
          <w:szCs w:val="26"/>
          <w:lang w:val="es-ES_tradnl"/>
        </w:rPr>
        <w:footnoteReference w:id="58"/>
      </w:r>
      <w:r w:rsidRPr="00F715E7">
        <w:rPr>
          <w:sz w:val="26"/>
          <w:szCs w:val="26"/>
          <w:lang w:val="es-ES_tradnl"/>
        </w:rPr>
        <w:t xml:space="preserve"> sea un precedente aplicable, porque en dicho asunto lo que se determinó es que no existe libertad configurativa de las entidades federativas para determinar el cálculo del financiamiento público local de los partidos políticos </w:t>
      </w:r>
      <w:r w:rsidRPr="00F715E7">
        <w:rPr>
          <w:i/>
          <w:iCs/>
          <w:sz w:val="26"/>
          <w:szCs w:val="26"/>
          <w:lang w:val="es-ES_tradnl"/>
        </w:rPr>
        <w:t>locales</w:t>
      </w:r>
      <w:r w:rsidRPr="00F715E7">
        <w:rPr>
          <w:sz w:val="26"/>
          <w:szCs w:val="26"/>
          <w:lang w:val="es-ES_tradnl"/>
        </w:rPr>
        <w:t xml:space="preserve"> –mas no de los nacionales–, dado que ese aspecto está previsto en la Ley General de Partidos Políticos.</w:t>
      </w:r>
    </w:p>
    <w:p w14:paraId="293CEDCA" w14:textId="77777777" w:rsidR="006C7F2B" w:rsidRPr="00F715E7" w:rsidRDefault="006C7F2B" w:rsidP="0098787A">
      <w:pPr>
        <w:pStyle w:val="Estilo1"/>
        <w:numPr>
          <w:ilvl w:val="0"/>
          <w:numId w:val="0"/>
        </w:numPr>
        <w:tabs>
          <w:tab w:val="left" w:pos="567"/>
        </w:tabs>
        <w:spacing w:before="0" w:after="0"/>
        <w:rPr>
          <w:sz w:val="26"/>
          <w:szCs w:val="26"/>
          <w:lang w:val="es-ES_tradnl"/>
        </w:rPr>
      </w:pPr>
    </w:p>
    <w:p w14:paraId="6A513A7A" w14:textId="2FB8FCAD" w:rsidR="00F67501" w:rsidRPr="00F715E7" w:rsidRDefault="00F67501" w:rsidP="0098787A">
      <w:pPr>
        <w:pStyle w:val="Estilo1"/>
        <w:numPr>
          <w:ilvl w:val="0"/>
          <w:numId w:val="6"/>
        </w:numPr>
        <w:tabs>
          <w:tab w:val="left" w:pos="567"/>
        </w:tabs>
        <w:spacing w:before="0" w:after="0"/>
        <w:ind w:left="0"/>
        <w:rPr>
          <w:sz w:val="26"/>
          <w:szCs w:val="26"/>
        </w:rPr>
      </w:pPr>
      <w:r w:rsidRPr="00F715E7">
        <w:rPr>
          <w:sz w:val="26"/>
          <w:szCs w:val="26"/>
        </w:rPr>
        <w:t xml:space="preserve">Derivado de lo </w:t>
      </w:r>
      <w:r w:rsidRPr="00F715E7">
        <w:rPr>
          <w:sz w:val="26"/>
          <w:szCs w:val="26"/>
          <w:lang w:val="es-ES_tradnl"/>
        </w:rPr>
        <w:t>anterior</w:t>
      </w:r>
      <w:r w:rsidRPr="00F715E7">
        <w:rPr>
          <w:sz w:val="26"/>
          <w:szCs w:val="26"/>
        </w:rPr>
        <w:t xml:space="preserve">, también resultan </w:t>
      </w:r>
      <w:r w:rsidRPr="00F715E7">
        <w:rPr>
          <w:b/>
          <w:bCs/>
          <w:sz w:val="26"/>
          <w:szCs w:val="26"/>
        </w:rPr>
        <w:t>infundados</w:t>
      </w:r>
      <w:r w:rsidRPr="00F715E7">
        <w:rPr>
          <w:sz w:val="26"/>
          <w:szCs w:val="26"/>
        </w:rPr>
        <w:t xml:space="preserve"> los conceptos de invalidez en que se solicita, por una </w:t>
      </w:r>
      <w:r w:rsidR="006C7F2B" w:rsidRPr="00F715E7">
        <w:rPr>
          <w:sz w:val="26"/>
          <w:szCs w:val="26"/>
        </w:rPr>
        <w:t>parte,</w:t>
      </w:r>
      <w:r w:rsidRPr="00F715E7">
        <w:rPr>
          <w:sz w:val="26"/>
          <w:szCs w:val="26"/>
        </w:rPr>
        <w:t xml:space="preserve"> que en todo caso se realice una interpretación conforme de la norma y, por otro, que no procede realizar tal interpretación</w:t>
      </w:r>
      <w:r w:rsidR="008466B1" w:rsidRPr="00F715E7">
        <w:rPr>
          <w:sz w:val="26"/>
          <w:szCs w:val="26"/>
        </w:rPr>
        <w:t>. Ello</w:t>
      </w:r>
      <w:r w:rsidRPr="00F715E7">
        <w:rPr>
          <w:sz w:val="26"/>
          <w:szCs w:val="26"/>
        </w:rPr>
        <w:t>,</w:t>
      </w:r>
      <w:r w:rsidR="008466B1" w:rsidRPr="00F715E7">
        <w:rPr>
          <w:sz w:val="26"/>
          <w:szCs w:val="26"/>
        </w:rPr>
        <w:t xml:space="preserve"> pues</w:t>
      </w:r>
      <w:r w:rsidRPr="00F715E7">
        <w:rPr>
          <w:sz w:val="26"/>
          <w:szCs w:val="26"/>
        </w:rPr>
        <w:t xml:space="preserve"> como ha quedado plasmado, la norma no tiene vicio de inconstitucionalidad alguno.</w:t>
      </w:r>
    </w:p>
    <w:p w14:paraId="251CD3EA" w14:textId="77777777" w:rsidR="00B143D2" w:rsidRPr="00F715E7" w:rsidRDefault="00B143D2" w:rsidP="0098787A">
      <w:pPr>
        <w:pStyle w:val="Prrafodelista"/>
        <w:spacing w:before="0" w:after="0"/>
        <w:rPr>
          <w:sz w:val="26"/>
          <w:szCs w:val="26"/>
        </w:rPr>
      </w:pPr>
    </w:p>
    <w:p w14:paraId="5ADC2C84" w14:textId="58E55E5E" w:rsidR="00A0628A" w:rsidRPr="00F715E7" w:rsidRDefault="00A0628A" w:rsidP="00A0628A">
      <w:pPr>
        <w:pStyle w:val="Estilo1"/>
        <w:numPr>
          <w:ilvl w:val="0"/>
          <w:numId w:val="6"/>
        </w:numPr>
        <w:spacing w:before="0" w:after="0"/>
        <w:ind w:left="0"/>
        <w:rPr>
          <w:sz w:val="26"/>
          <w:szCs w:val="26"/>
        </w:rPr>
      </w:pPr>
      <w:r w:rsidRPr="00F715E7">
        <w:rPr>
          <w:sz w:val="26"/>
          <w:szCs w:val="26"/>
        </w:rPr>
        <w:t xml:space="preserve">Estas consideraciones son vinculantes al haberse aprobado por mayoría de </w:t>
      </w:r>
      <w:r w:rsidR="009E7C90" w:rsidRPr="00F715E7">
        <w:rPr>
          <w:sz w:val="26"/>
          <w:szCs w:val="26"/>
        </w:rPr>
        <w:t>nueve</w:t>
      </w:r>
      <w:r w:rsidRPr="00F715E7">
        <w:rPr>
          <w:sz w:val="26"/>
          <w:szCs w:val="26"/>
        </w:rPr>
        <w:t xml:space="preserve"> votos.</w:t>
      </w:r>
    </w:p>
    <w:p w14:paraId="287ED497" w14:textId="77777777" w:rsidR="002A58C3" w:rsidRPr="00F715E7" w:rsidRDefault="002A58C3" w:rsidP="0098787A">
      <w:pPr>
        <w:pStyle w:val="Estilo1"/>
        <w:numPr>
          <w:ilvl w:val="0"/>
          <w:numId w:val="0"/>
        </w:numPr>
        <w:tabs>
          <w:tab w:val="left" w:pos="567"/>
        </w:tabs>
        <w:spacing w:before="0" w:after="0"/>
        <w:rPr>
          <w:sz w:val="26"/>
          <w:szCs w:val="26"/>
        </w:rPr>
      </w:pPr>
    </w:p>
    <w:p w14:paraId="625A65F6" w14:textId="1B37842D" w:rsidR="00F67501" w:rsidRPr="00F715E7" w:rsidRDefault="002A58C3" w:rsidP="0098787A">
      <w:pPr>
        <w:spacing w:before="0" w:after="0"/>
        <w:rPr>
          <w:b/>
          <w:bCs/>
          <w:sz w:val="26"/>
          <w:szCs w:val="26"/>
          <w:lang w:val="es-ES_tradnl"/>
        </w:rPr>
      </w:pPr>
      <w:r w:rsidRPr="00F715E7">
        <w:rPr>
          <w:b/>
          <w:bCs/>
          <w:sz w:val="26"/>
          <w:szCs w:val="26"/>
          <w:lang w:val="es-ES_tradnl"/>
        </w:rPr>
        <w:t>VI.4. Retroactividad de la norma</w:t>
      </w:r>
      <w:r w:rsidR="00E51A7A">
        <w:rPr>
          <w:b/>
          <w:bCs/>
          <w:sz w:val="26"/>
          <w:szCs w:val="26"/>
          <w:lang w:val="es-ES_tradnl"/>
        </w:rPr>
        <w:t>.</w:t>
      </w:r>
    </w:p>
    <w:p w14:paraId="490CFF58" w14:textId="77777777" w:rsidR="008466B1" w:rsidRPr="00F715E7" w:rsidRDefault="008466B1" w:rsidP="001E1EF8">
      <w:pPr>
        <w:spacing w:before="0" w:after="0"/>
        <w:rPr>
          <w:b/>
          <w:bCs/>
          <w:sz w:val="26"/>
          <w:szCs w:val="26"/>
          <w:lang w:val="es-ES_tradnl"/>
        </w:rPr>
      </w:pPr>
    </w:p>
    <w:p w14:paraId="322574CF" w14:textId="060EF453" w:rsidR="00FB5853" w:rsidRPr="00F715E7" w:rsidRDefault="00EF4518"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Por último, el Partido de la Revolución Institucional sostiene que con la emisión de la </w:t>
      </w:r>
      <w:r w:rsidRPr="00F715E7">
        <w:rPr>
          <w:sz w:val="26"/>
          <w:szCs w:val="26"/>
        </w:rPr>
        <w:t>norma</w:t>
      </w:r>
      <w:r w:rsidRPr="00F715E7">
        <w:rPr>
          <w:sz w:val="26"/>
          <w:szCs w:val="26"/>
          <w:lang w:val="es-ES_tradnl"/>
        </w:rPr>
        <w:t xml:space="preserve"> impugnada se </w:t>
      </w:r>
      <w:r w:rsidR="008466B1" w:rsidRPr="00F715E7">
        <w:rPr>
          <w:sz w:val="26"/>
          <w:szCs w:val="26"/>
          <w:lang w:val="es-ES_tradnl"/>
        </w:rPr>
        <w:t xml:space="preserve">vulnera </w:t>
      </w:r>
      <w:r w:rsidR="002A58C3" w:rsidRPr="00F715E7">
        <w:rPr>
          <w:sz w:val="26"/>
          <w:szCs w:val="26"/>
          <w:lang w:val="es-ES_tradnl"/>
        </w:rPr>
        <w:t>la</w:t>
      </w:r>
      <w:r w:rsidR="00E30B95" w:rsidRPr="00F715E7">
        <w:rPr>
          <w:sz w:val="26"/>
          <w:szCs w:val="26"/>
          <w:lang w:val="es-ES_tradnl"/>
        </w:rPr>
        <w:t xml:space="preserve"> garantía de</w:t>
      </w:r>
      <w:r w:rsidRPr="00F715E7">
        <w:rPr>
          <w:sz w:val="26"/>
          <w:szCs w:val="26"/>
          <w:lang w:val="es-ES_tradnl"/>
        </w:rPr>
        <w:t xml:space="preserve"> irretroactividad de la ley contenido en el artículo 14 de la Constitución </w:t>
      </w:r>
      <w:r w:rsidR="008466B1" w:rsidRPr="00F715E7">
        <w:rPr>
          <w:sz w:val="26"/>
          <w:szCs w:val="26"/>
          <w:lang w:val="es-ES_tradnl"/>
        </w:rPr>
        <w:t>Federal.</w:t>
      </w:r>
      <w:r w:rsidRPr="00F715E7">
        <w:rPr>
          <w:sz w:val="26"/>
          <w:szCs w:val="26"/>
          <w:lang w:val="es-ES_tradnl"/>
        </w:rPr>
        <w:t xml:space="preserve"> </w:t>
      </w:r>
    </w:p>
    <w:p w14:paraId="1CF9C328" w14:textId="77777777" w:rsidR="00FB5853" w:rsidRPr="00F715E7" w:rsidRDefault="00FB5853" w:rsidP="001E1EF8">
      <w:pPr>
        <w:pStyle w:val="Estilo1"/>
        <w:numPr>
          <w:ilvl w:val="0"/>
          <w:numId w:val="0"/>
        </w:numPr>
        <w:tabs>
          <w:tab w:val="left" w:pos="567"/>
        </w:tabs>
        <w:spacing w:before="0" w:after="0"/>
        <w:rPr>
          <w:sz w:val="26"/>
          <w:szCs w:val="26"/>
          <w:lang w:val="es-ES_tradnl"/>
        </w:rPr>
      </w:pPr>
    </w:p>
    <w:p w14:paraId="3EB37803" w14:textId="72DBB8EB" w:rsidR="003D1ACC" w:rsidRPr="00F715E7" w:rsidRDefault="00FB5853"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Sostienen lo anterior, </w:t>
      </w:r>
      <w:r w:rsidR="008466B1" w:rsidRPr="00F715E7">
        <w:rPr>
          <w:sz w:val="26"/>
          <w:szCs w:val="26"/>
          <w:lang w:val="es-ES_tradnl"/>
        </w:rPr>
        <w:t xml:space="preserve">ya que considera </w:t>
      </w:r>
      <w:r w:rsidR="00444CB6" w:rsidRPr="00F715E7">
        <w:rPr>
          <w:sz w:val="26"/>
          <w:szCs w:val="26"/>
          <w:lang w:val="es-ES_tradnl"/>
        </w:rPr>
        <w:t>que</w:t>
      </w:r>
      <w:r w:rsidR="00EF4518" w:rsidRPr="00F715E7">
        <w:rPr>
          <w:sz w:val="26"/>
          <w:szCs w:val="26"/>
          <w:lang w:val="es-ES_tradnl"/>
        </w:rPr>
        <w:t xml:space="preserve"> la modificación de la fórmula para calcular el financiamiento a los partidos políticos nacionales en el </w:t>
      </w:r>
      <w:r w:rsidR="00E30B95" w:rsidRPr="00F715E7">
        <w:rPr>
          <w:sz w:val="26"/>
          <w:szCs w:val="26"/>
          <w:lang w:val="es-ES_tradnl"/>
        </w:rPr>
        <w:t xml:space="preserve">Estado </w:t>
      </w:r>
      <w:r w:rsidR="00EF4518" w:rsidRPr="00F715E7">
        <w:rPr>
          <w:sz w:val="26"/>
          <w:szCs w:val="26"/>
          <w:lang w:val="es-ES_tradnl"/>
        </w:rPr>
        <w:t xml:space="preserve">de Veracruz se aprobó y promulgó con posterioridad a la fecha en que el Consejo General del Organismo Público Electoral de dicha entidad federativa </w:t>
      </w:r>
      <w:r w:rsidR="00E16A76" w:rsidRPr="00F715E7">
        <w:rPr>
          <w:sz w:val="26"/>
          <w:szCs w:val="26"/>
          <w:lang w:val="es-ES_tradnl"/>
        </w:rPr>
        <w:t xml:space="preserve">aprobó el presupuesto para el ejercicio fiscal </w:t>
      </w:r>
      <w:r w:rsidR="00132FD3" w:rsidRPr="00F715E7">
        <w:rPr>
          <w:sz w:val="26"/>
          <w:szCs w:val="26"/>
          <w:lang w:val="es-ES_tradnl"/>
        </w:rPr>
        <w:t>en curso</w:t>
      </w:r>
      <w:r w:rsidR="008466B1" w:rsidRPr="00F715E7">
        <w:rPr>
          <w:sz w:val="26"/>
          <w:szCs w:val="26"/>
          <w:lang w:val="es-ES_tradnl"/>
        </w:rPr>
        <w:t xml:space="preserve">. En ese sentido, estima que </w:t>
      </w:r>
      <w:r w:rsidR="00DE040E" w:rsidRPr="00F715E7">
        <w:rPr>
          <w:sz w:val="26"/>
          <w:szCs w:val="26"/>
          <w:lang w:val="es-ES_tradnl"/>
        </w:rPr>
        <w:t xml:space="preserve">dicha norma </w:t>
      </w:r>
      <w:r w:rsidR="0075465F" w:rsidRPr="00F715E7">
        <w:rPr>
          <w:sz w:val="26"/>
          <w:szCs w:val="26"/>
          <w:lang w:val="es-ES_tradnl"/>
        </w:rPr>
        <w:t>adquiere alcances que transgreden en forma retroactiva derechos políticos adquiridos.</w:t>
      </w:r>
    </w:p>
    <w:p w14:paraId="31458041" w14:textId="77777777" w:rsidR="008466B1" w:rsidRPr="00F715E7" w:rsidRDefault="008466B1" w:rsidP="001E1EF8">
      <w:pPr>
        <w:pStyle w:val="Estilo1"/>
        <w:numPr>
          <w:ilvl w:val="0"/>
          <w:numId w:val="0"/>
        </w:numPr>
        <w:tabs>
          <w:tab w:val="left" w:pos="567"/>
        </w:tabs>
        <w:spacing w:before="0" w:after="0"/>
        <w:rPr>
          <w:sz w:val="26"/>
          <w:szCs w:val="26"/>
          <w:lang w:val="es-ES_tradnl"/>
        </w:rPr>
      </w:pPr>
    </w:p>
    <w:p w14:paraId="7EEE793C" w14:textId="348B8A9C" w:rsidR="00FB5853" w:rsidRPr="00F715E7" w:rsidRDefault="008466B1"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Dicho</w:t>
      </w:r>
      <w:r w:rsidR="0075465F" w:rsidRPr="00F715E7">
        <w:rPr>
          <w:sz w:val="26"/>
          <w:szCs w:val="26"/>
          <w:lang w:val="es-ES_tradnl"/>
        </w:rPr>
        <w:t xml:space="preserve"> concepto de invalidez</w:t>
      </w:r>
      <w:r w:rsidRPr="00F715E7">
        <w:rPr>
          <w:sz w:val="26"/>
          <w:szCs w:val="26"/>
          <w:lang w:val="es-ES_tradnl"/>
        </w:rPr>
        <w:t xml:space="preserve"> resulta </w:t>
      </w:r>
      <w:r w:rsidRPr="00F715E7">
        <w:rPr>
          <w:b/>
          <w:bCs/>
          <w:sz w:val="26"/>
          <w:szCs w:val="26"/>
          <w:lang w:val="es-ES_tradnl"/>
        </w:rPr>
        <w:t>infundado</w:t>
      </w:r>
      <w:r w:rsidR="00FB5853" w:rsidRPr="00F715E7">
        <w:rPr>
          <w:sz w:val="26"/>
          <w:szCs w:val="26"/>
          <w:lang w:val="es-ES_tradnl"/>
        </w:rPr>
        <w:t>.</w:t>
      </w:r>
    </w:p>
    <w:p w14:paraId="2D17D212" w14:textId="77777777" w:rsidR="004D22B4" w:rsidRPr="00F715E7" w:rsidRDefault="004D22B4" w:rsidP="00BC0A19">
      <w:pPr>
        <w:pStyle w:val="Estilo1"/>
        <w:numPr>
          <w:ilvl w:val="0"/>
          <w:numId w:val="0"/>
        </w:numPr>
        <w:tabs>
          <w:tab w:val="left" w:pos="567"/>
        </w:tabs>
        <w:spacing w:before="0" w:after="0"/>
        <w:rPr>
          <w:b/>
          <w:bCs/>
          <w:sz w:val="26"/>
          <w:szCs w:val="26"/>
        </w:rPr>
      </w:pPr>
    </w:p>
    <w:p w14:paraId="1A8C909A" w14:textId="6A718BDE" w:rsidR="0075465F" w:rsidRPr="00F715E7" w:rsidRDefault="00FB5853"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D</w:t>
      </w:r>
      <w:r w:rsidR="0075465F" w:rsidRPr="00F715E7">
        <w:rPr>
          <w:sz w:val="26"/>
          <w:szCs w:val="26"/>
          <w:lang w:val="es-ES_tradnl"/>
        </w:rPr>
        <w:t>e la interpretación del artículo 14 de la Constitución Federal, se desprende que el postulado fundamental de la irretroactividad de la ley consiste en que el órgano legislativo al emitir las leyes no expedirá ninguna que resulte retroactiva</w:t>
      </w:r>
      <w:r w:rsidR="008466B1" w:rsidRPr="00F715E7">
        <w:rPr>
          <w:sz w:val="26"/>
          <w:szCs w:val="26"/>
          <w:lang w:val="es-ES_tradnl"/>
        </w:rPr>
        <w:t xml:space="preserve">; ni </w:t>
      </w:r>
      <w:r w:rsidR="0075465F" w:rsidRPr="00F715E7">
        <w:rPr>
          <w:sz w:val="26"/>
          <w:szCs w:val="26"/>
          <w:lang w:val="es-ES_tradnl"/>
        </w:rPr>
        <w:t xml:space="preserve">la autoridad encargada de aplicarlas </w:t>
      </w:r>
      <w:r w:rsidR="008466B1" w:rsidRPr="00F715E7">
        <w:rPr>
          <w:sz w:val="26"/>
          <w:szCs w:val="26"/>
          <w:lang w:val="es-ES_tradnl"/>
        </w:rPr>
        <w:t xml:space="preserve">deberá hacerlo con efectos de </w:t>
      </w:r>
      <w:r w:rsidR="0075465F" w:rsidRPr="00F715E7">
        <w:rPr>
          <w:sz w:val="26"/>
          <w:szCs w:val="26"/>
          <w:lang w:val="es-ES_tradnl"/>
        </w:rPr>
        <w:t xml:space="preserve">retroactividad. </w:t>
      </w:r>
    </w:p>
    <w:p w14:paraId="54C0C280" w14:textId="77777777" w:rsidR="0075465F" w:rsidRPr="00F715E7" w:rsidRDefault="0075465F" w:rsidP="0098787A">
      <w:pPr>
        <w:pStyle w:val="Estilo1"/>
        <w:numPr>
          <w:ilvl w:val="0"/>
          <w:numId w:val="0"/>
        </w:numPr>
        <w:tabs>
          <w:tab w:val="left" w:pos="567"/>
        </w:tabs>
        <w:spacing w:before="0" w:after="0"/>
        <w:rPr>
          <w:sz w:val="26"/>
          <w:szCs w:val="26"/>
          <w:lang w:val="es-ES_tradnl"/>
        </w:rPr>
      </w:pPr>
    </w:p>
    <w:p w14:paraId="4033E999" w14:textId="45C6D51C" w:rsidR="00A6796D" w:rsidRPr="00F715E7" w:rsidRDefault="0075465F"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En las </w:t>
      </w:r>
      <w:r w:rsidR="007470E9">
        <w:rPr>
          <w:sz w:val="26"/>
          <w:szCs w:val="26"/>
          <w:lang w:val="es-ES_tradnl"/>
        </w:rPr>
        <w:t>a</w:t>
      </w:r>
      <w:r w:rsidRPr="00F715E7">
        <w:rPr>
          <w:sz w:val="26"/>
          <w:szCs w:val="26"/>
          <w:lang w:val="es-ES_tradnl"/>
        </w:rPr>
        <w:t xml:space="preserve">cciones de </w:t>
      </w:r>
      <w:r w:rsidR="007470E9">
        <w:rPr>
          <w:sz w:val="26"/>
          <w:szCs w:val="26"/>
          <w:lang w:val="es-ES_tradnl"/>
        </w:rPr>
        <w:t>i</w:t>
      </w:r>
      <w:r w:rsidRPr="00F715E7">
        <w:rPr>
          <w:sz w:val="26"/>
          <w:szCs w:val="26"/>
          <w:lang w:val="es-ES_tradnl"/>
        </w:rPr>
        <w:t xml:space="preserve">nconstitucionalidad, que se ocupan de analizar vicios abstractos de la norma, </w:t>
      </w:r>
      <w:r w:rsidR="008466B1" w:rsidRPr="00F715E7">
        <w:rPr>
          <w:sz w:val="26"/>
          <w:szCs w:val="26"/>
          <w:lang w:val="es-ES_tradnl"/>
        </w:rPr>
        <w:t xml:space="preserve">este Alto Tribunal ha considerado </w:t>
      </w:r>
      <w:r w:rsidR="008A0518" w:rsidRPr="00F715E7">
        <w:rPr>
          <w:sz w:val="26"/>
          <w:szCs w:val="26"/>
          <w:lang w:val="es-ES_tradnl"/>
        </w:rPr>
        <w:t xml:space="preserve">que una </w:t>
      </w:r>
      <w:r w:rsidRPr="00F715E7">
        <w:rPr>
          <w:sz w:val="26"/>
          <w:szCs w:val="26"/>
          <w:lang w:val="es-ES_tradnl"/>
        </w:rPr>
        <w:t xml:space="preserve">ley es retroactiva cuando modifica o extingue una situación jurídica concreta; pero no lo es, cuando simplemente limita o extingue una situación abstracta, creada por la ley precedente. </w:t>
      </w:r>
    </w:p>
    <w:p w14:paraId="22956E5F" w14:textId="77777777" w:rsidR="00A6796D" w:rsidRPr="00F715E7" w:rsidRDefault="00A6796D" w:rsidP="0098787A">
      <w:pPr>
        <w:pStyle w:val="Estilo1"/>
        <w:numPr>
          <w:ilvl w:val="0"/>
          <w:numId w:val="0"/>
        </w:numPr>
        <w:tabs>
          <w:tab w:val="left" w:pos="567"/>
        </w:tabs>
        <w:spacing w:before="0" w:after="0"/>
        <w:ind w:left="567"/>
        <w:rPr>
          <w:sz w:val="26"/>
          <w:szCs w:val="26"/>
          <w:lang w:val="es-ES_tradnl"/>
        </w:rPr>
      </w:pPr>
    </w:p>
    <w:p w14:paraId="59B7F98B" w14:textId="4B26F8F9" w:rsidR="00A6796D" w:rsidRPr="00F715E7" w:rsidRDefault="00A6796D"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Al respecto, las Salas de ese Alto Tribunal en las tesis de jurisprudencia </w:t>
      </w:r>
      <w:r w:rsidR="0070328E" w:rsidRPr="00F715E7">
        <w:rPr>
          <w:sz w:val="26"/>
          <w:szCs w:val="26"/>
          <w:lang w:val="es-ES_tradnl"/>
        </w:rPr>
        <w:t>1</w:t>
      </w:r>
      <w:r w:rsidRPr="00F715E7">
        <w:rPr>
          <w:sz w:val="26"/>
          <w:szCs w:val="26"/>
          <w:lang w:val="es-ES_tradnl"/>
        </w:rPr>
        <w:t xml:space="preserve">a./J 50/2003 y 2a./J 50/2003, correspondientes a los meses de septiembre de 2003 y julio de 2004, del Semanario Judicial de la Federación y su Gaceta, de la novena época, respectivamente, han sostenido lo siguiente: </w:t>
      </w:r>
      <w:r w:rsidRPr="00F715E7">
        <w:rPr>
          <w:b/>
          <w:bCs/>
          <w:sz w:val="26"/>
          <w:szCs w:val="26"/>
          <w:lang w:val="es-ES_tradnl"/>
        </w:rPr>
        <w:t xml:space="preserve">“GARANTÍA DE IRRETROACTIVIDAD. CONSTRIÑE AL ÓRGANO LEGISLATIVO A NO EXPEDIR LEYES QUE EN SÍ MISMAS RESULTEN </w:t>
      </w:r>
      <w:r w:rsidRPr="00F715E7">
        <w:rPr>
          <w:b/>
          <w:bCs/>
          <w:sz w:val="26"/>
          <w:szCs w:val="26"/>
          <w:lang w:val="es-ES_tradnl"/>
        </w:rPr>
        <w:lastRenderedPageBreak/>
        <w:t>RETROACTIVAS, Y A LAS DEMÁS AUTORIDADES A NO APLICARLAS RETROACTIVAMENTE”. y “RETROACTIVIDAD DE LA LEY. ES DIFERENTE A SU APLICACIÓN RETROACTIVA”.</w:t>
      </w:r>
    </w:p>
    <w:p w14:paraId="01ED2AD5" w14:textId="77777777" w:rsidR="00A6796D" w:rsidRPr="00F715E7" w:rsidRDefault="00A6796D" w:rsidP="0098787A">
      <w:pPr>
        <w:pStyle w:val="Estilo1"/>
        <w:numPr>
          <w:ilvl w:val="0"/>
          <w:numId w:val="0"/>
        </w:numPr>
        <w:tabs>
          <w:tab w:val="left" w:pos="567"/>
        </w:tabs>
        <w:spacing w:before="0" w:after="0"/>
        <w:ind w:left="567"/>
        <w:rPr>
          <w:sz w:val="26"/>
          <w:szCs w:val="26"/>
          <w:lang w:val="es-ES_tradnl"/>
        </w:rPr>
      </w:pPr>
    </w:p>
    <w:p w14:paraId="0290DEFC" w14:textId="17B97F0F" w:rsidR="00A6796D" w:rsidRPr="00F715E7" w:rsidRDefault="00A6796D"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 Ahora bien, respecto a </w:t>
      </w:r>
      <w:r w:rsidR="0070328E" w:rsidRPr="00F715E7">
        <w:rPr>
          <w:sz w:val="26"/>
          <w:szCs w:val="26"/>
          <w:lang w:val="es-ES_tradnl"/>
        </w:rPr>
        <w:t xml:space="preserve">la doctrina de </w:t>
      </w:r>
      <w:r w:rsidRPr="00F715E7">
        <w:rPr>
          <w:sz w:val="26"/>
          <w:szCs w:val="26"/>
          <w:lang w:val="es-ES_tradnl"/>
        </w:rPr>
        <w:t xml:space="preserve">derechos adquiridos </w:t>
      </w:r>
      <w:r w:rsidR="0070328E" w:rsidRPr="00F715E7">
        <w:rPr>
          <w:sz w:val="26"/>
          <w:szCs w:val="26"/>
          <w:lang w:val="es-ES_tradnl"/>
        </w:rPr>
        <w:t xml:space="preserve">que ha establecido </w:t>
      </w:r>
      <w:r w:rsidRPr="00F715E7">
        <w:rPr>
          <w:sz w:val="26"/>
          <w:szCs w:val="26"/>
          <w:lang w:val="es-ES_tradnl"/>
        </w:rPr>
        <w:t>es</w:t>
      </w:r>
      <w:r w:rsidR="0070328E" w:rsidRPr="00F715E7">
        <w:rPr>
          <w:sz w:val="26"/>
          <w:szCs w:val="26"/>
          <w:lang w:val="es-ES_tradnl"/>
        </w:rPr>
        <w:t>t</w:t>
      </w:r>
      <w:r w:rsidRPr="00F715E7">
        <w:rPr>
          <w:sz w:val="26"/>
          <w:szCs w:val="26"/>
          <w:lang w:val="es-ES_tradnl"/>
        </w:rPr>
        <w:t>e Alto Tribunal</w:t>
      </w:r>
      <w:r w:rsidR="0070328E" w:rsidRPr="00F715E7">
        <w:rPr>
          <w:sz w:val="26"/>
          <w:szCs w:val="26"/>
          <w:lang w:val="es-ES_tradnl"/>
        </w:rPr>
        <w:t xml:space="preserve">, </w:t>
      </w:r>
      <w:r w:rsidRPr="00F715E7">
        <w:rPr>
          <w:sz w:val="26"/>
          <w:szCs w:val="26"/>
          <w:lang w:val="es-ES_tradnl"/>
        </w:rPr>
        <w:t xml:space="preserve">en la tesis 2a. LXXXVIII/2001, </w:t>
      </w:r>
      <w:r w:rsidR="0070328E" w:rsidRPr="00F715E7">
        <w:rPr>
          <w:sz w:val="26"/>
          <w:szCs w:val="26"/>
          <w:lang w:val="es-ES_tradnl"/>
        </w:rPr>
        <w:t>de la</w:t>
      </w:r>
      <w:r w:rsidRPr="00F715E7">
        <w:rPr>
          <w:sz w:val="26"/>
          <w:szCs w:val="26"/>
          <w:lang w:val="es-ES_tradnl"/>
        </w:rPr>
        <w:t xml:space="preserve"> Segunda Sala, Tomo XIII, Junio de 2001, Página 306, </w:t>
      </w:r>
      <w:r w:rsidR="0070328E" w:rsidRPr="00F715E7">
        <w:rPr>
          <w:sz w:val="26"/>
          <w:szCs w:val="26"/>
          <w:lang w:val="es-ES_tradnl"/>
        </w:rPr>
        <w:t xml:space="preserve">establece que la </w:t>
      </w:r>
      <w:r w:rsidRPr="00F715E7">
        <w:rPr>
          <w:b/>
          <w:bCs/>
          <w:sz w:val="26"/>
          <w:szCs w:val="26"/>
          <w:lang w:val="es-ES_tradnl"/>
        </w:rPr>
        <w:t>“IRRETROACTIVIDAD DE LAS LEYES. NO SE, VIOLA ESA GARANTÍA CONSTITUCIONAL CUANDO LAS LEYES O ACTOS CONCRETOS DE APLICACIÓN SÓLO AFECTAN SIMPLES EXPECTATIVAS DE DERECHO, Y NO DERECHOS ADQUIRIDOS”</w:t>
      </w:r>
      <w:r w:rsidRPr="00F715E7">
        <w:rPr>
          <w:sz w:val="26"/>
          <w:szCs w:val="26"/>
          <w:lang w:val="es-ES_tradnl"/>
        </w:rPr>
        <w:t>.</w:t>
      </w:r>
    </w:p>
    <w:p w14:paraId="0AC72678" w14:textId="77777777" w:rsidR="00A6796D" w:rsidRPr="00F715E7" w:rsidRDefault="00A6796D" w:rsidP="0098787A">
      <w:pPr>
        <w:pStyle w:val="Estilo1"/>
        <w:numPr>
          <w:ilvl w:val="0"/>
          <w:numId w:val="0"/>
        </w:numPr>
        <w:tabs>
          <w:tab w:val="left" w:pos="567"/>
        </w:tabs>
        <w:spacing w:before="0" w:after="0"/>
        <w:ind w:left="567"/>
        <w:rPr>
          <w:sz w:val="26"/>
          <w:szCs w:val="26"/>
          <w:lang w:val="es-ES_tradnl"/>
        </w:rPr>
      </w:pPr>
    </w:p>
    <w:p w14:paraId="4718BFF8" w14:textId="7D310869" w:rsidR="009A3643" w:rsidRPr="00F715E7" w:rsidRDefault="00A6796D"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En el caso a estudio, no puede afirmarse que la norma combatida tenga efectos retroactivos, </w:t>
      </w:r>
      <w:r w:rsidR="009A3643" w:rsidRPr="00F715E7">
        <w:rPr>
          <w:sz w:val="26"/>
          <w:szCs w:val="26"/>
          <w:lang w:val="es-ES_tradnl"/>
        </w:rPr>
        <w:t xml:space="preserve">pues no se advierte que su contenido modifique, altere o extinga la situación jurídica de partido político alguno creadas con anterioridad a la emisión de la norma, ya que la misma </w:t>
      </w:r>
      <w:r w:rsidR="0070328E" w:rsidRPr="00F715E7">
        <w:rPr>
          <w:sz w:val="26"/>
          <w:szCs w:val="26"/>
          <w:lang w:val="es-ES_tradnl"/>
        </w:rPr>
        <w:t xml:space="preserve">solo </w:t>
      </w:r>
      <w:r w:rsidR="009A3643" w:rsidRPr="00F715E7">
        <w:rPr>
          <w:sz w:val="26"/>
          <w:szCs w:val="26"/>
          <w:lang w:val="es-ES_tradnl"/>
        </w:rPr>
        <w:t xml:space="preserve">regirá respecto de acontecimientos futuros y no hacia el pasado, por lo que la violación al numeral 14 de la </w:t>
      </w:r>
      <w:r w:rsidR="0070328E" w:rsidRPr="00F715E7">
        <w:rPr>
          <w:sz w:val="26"/>
          <w:szCs w:val="26"/>
          <w:lang w:val="es-ES_tradnl"/>
        </w:rPr>
        <w:t>Constitución Federal</w:t>
      </w:r>
      <w:r w:rsidR="009A3643" w:rsidRPr="00F715E7">
        <w:rPr>
          <w:sz w:val="26"/>
          <w:szCs w:val="26"/>
          <w:lang w:val="es-ES_tradnl"/>
        </w:rPr>
        <w:t xml:space="preserve"> resulta infundada. </w:t>
      </w:r>
    </w:p>
    <w:p w14:paraId="2D8D9B76" w14:textId="77777777" w:rsidR="00136873" w:rsidRPr="00F715E7" w:rsidRDefault="00136873" w:rsidP="0098787A">
      <w:pPr>
        <w:pStyle w:val="Estilo1"/>
        <w:numPr>
          <w:ilvl w:val="0"/>
          <w:numId w:val="0"/>
        </w:numPr>
        <w:tabs>
          <w:tab w:val="left" w:pos="567"/>
        </w:tabs>
        <w:spacing w:before="0" w:after="0"/>
        <w:rPr>
          <w:sz w:val="26"/>
          <w:szCs w:val="26"/>
          <w:lang w:val="es-ES_tradnl"/>
        </w:rPr>
      </w:pPr>
    </w:p>
    <w:p w14:paraId="2C91C187" w14:textId="5D1CA6D1" w:rsidR="00136873" w:rsidRPr="00F715E7" w:rsidRDefault="00136873"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La teoría de los componentes de la norma advierte que toda norma jurídica contiene un supuesto o hipótesis normativa y una consecuencia, en el que si aquél se realiza, ésta debe producirse, generándose así los derechos y obligaciones correspondientes y, por ello, que los destinatarios están en posibilidad de ejercer aquéllos y de cumplir con éstas. </w:t>
      </w:r>
    </w:p>
    <w:p w14:paraId="6EBA32B4" w14:textId="77777777" w:rsidR="00136873" w:rsidRPr="00F715E7" w:rsidRDefault="00136873" w:rsidP="0098787A">
      <w:pPr>
        <w:pStyle w:val="Estilo1"/>
        <w:numPr>
          <w:ilvl w:val="0"/>
          <w:numId w:val="0"/>
        </w:numPr>
        <w:tabs>
          <w:tab w:val="left" w:pos="567"/>
        </w:tabs>
        <w:spacing w:before="0" w:after="0"/>
        <w:ind w:left="567"/>
        <w:rPr>
          <w:sz w:val="26"/>
          <w:szCs w:val="26"/>
          <w:lang w:val="es-ES_tradnl"/>
        </w:rPr>
      </w:pPr>
    </w:p>
    <w:p w14:paraId="78381B59" w14:textId="77777777" w:rsidR="00136873" w:rsidRPr="00F715E7" w:rsidRDefault="00136873"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Sin embargo, el supuesto y la consecuencia no siempre se generan de modo inmediato, pues puede suceder que su realización ocurra fraccionada en el tiempo, por lo que para que se pueda analizar la retroactividad o </w:t>
      </w:r>
      <w:r w:rsidRPr="00F715E7">
        <w:rPr>
          <w:sz w:val="26"/>
          <w:szCs w:val="26"/>
          <w:lang w:val="es-ES_tradnl"/>
        </w:rPr>
        <w:lastRenderedPageBreak/>
        <w:t xml:space="preserve">irretroactividad de las normas es necesario analizar las siguientes hipótesis que pueden llegar a generarse a través del tiempo: </w:t>
      </w:r>
    </w:p>
    <w:p w14:paraId="1B7E1E32" w14:textId="77777777" w:rsidR="00136873" w:rsidRPr="00F715E7" w:rsidRDefault="00136873" w:rsidP="0098787A">
      <w:pPr>
        <w:pStyle w:val="Estilo1"/>
        <w:numPr>
          <w:ilvl w:val="0"/>
          <w:numId w:val="0"/>
        </w:numPr>
        <w:tabs>
          <w:tab w:val="left" w:pos="567"/>
        </w:tabs>
        <w:spacing w:before="0" w:after="0"/>
        <w:ind w:left="567"/>
        <w:rPr>
          <w:sz w:val="26"/>
          <w:szCs w:val="26"/>
          <w:lang w:val="es-ES_tradnl"/>
        </w:rPr>
      </w:pPr>
    </w:p>
    <w:p w14:paraId="50591731" w14:textId="77777777" w:rsidR="00136873" w:rsidRPr="00F715E7" w:rsidRDefault="00136873" w:rsidP="0098787A">
      <w:pPr>
        <w:pStyle w:val="Estilo1"/>
        <w:numPr>
          <w:ilvl w:val="0"/>
          <w:numId w:val="12"/>
        </w:numPr>
        <w:tabs>
          <w:tab w:val="left" w:pos="567"/>
        </w:tabs>
        <w:spacing w:before="0" w:after="0"/>
        <w:ind w:hanging="425"/>
        <w:rPr>
          <w:sz w:val="26"/>
          <w:szCs w:val="26"/>
          <w:lang w:val="es-ES_tradnl"/>
        </w:rPr>
      </w:pPr>
      <w:r w:rsidRPr="00F715E7">
        <w:rPr>
          <w:sz w:val="26"/>
          <w:szCs w:val="26"/>
          <w:lang w:val="es-ES_tradnl"/>
        </w:rPr>
        <w:t xml:space="preserve">Cuando durante la vigencia de una norma jurídica se actualizan de modo inmediato el supuesto y la consecuencia en ella regulados, no se puede variar, suprimir o modificar ese supuesto o la consecuencia sin violar la garantía de irretroactividad de las normas, toda vez que ambos nacieron a la vida jurídica con anterioridad a la entrada en vigor de la nueva ley. </w:t>
      </w:r>
    </w:p>
    <w:p w14:paraId="04DB8108" w14:textId="77777777" w:rsidR="00136873" w:rsidRPr="00F715E7" w:rsidRDefault="00136873" w:rsidP="0098787A">
      <w:pPr>
        <w:pStyle w:val="Estilo1"/>
        <w:numPr>
          <w:ilvl w:val="0"/>
          <w:numId w:val="0"/>
        </w:numPr>
        <w:tabs>
          <w:tab w:val="left" w:pos="567"/>
        </w:tabs>
        <w:spacing w:before="0" w:after="0"/>
        <w:ind w:left="567"/>
        <w:rPr>
          <w:sz w:val="26"/>
          <w:szCs w:val="26"/>
          <w:lang w:val="es-ES_tradnl"/>
        </w:rPr>
      </w:pPr>
    </w:p>
    <w:p w14:paraId="73F1B54B" w14:textId="77777777" w:rsidR="00136873" w:rsidRPr="00F715E7" w:rsidRDefault="00136873" w:rsidP="0098787A">
      <w:pPr>
        <w:pStyle w:val="Estilo1"/>
        <w:numPr>
          <w:ilvl w:val="0"/>
          <w:numId w:val="12"/>
        </w:numPr>
        <w:tabs>
          <w:tab w:val="left" w:pos="567"/>
        </w:tabs>
        <w:spacing w:before="0" w:after="0"/>
        <w:ind w:hanging="425"/>
        <w:rPr>
          <w:sz w:val="26"/>
          <w:szCs w:val="26"/>
          <w:lang w:val="es-ES_tradnl"/>
        </w:rPr>
      </w:pPr>
      <w:r w:rsidRPr="00F715E7">
        <w:rPr>
          <w:sz w:val="26"/>
          <w:szCs w:val="26"/>
          <w:lang w:val="es-ES_tradnl"/>
        </w:rPr>
        <w:t xml:space="preserve">Cuando la norma jurídica establece un supuesto y varias consecuencias sucesivas. Si el supuesto y algunas de las consecuencias se realizan bajo la vigencia de una ley, quedando pendientes algunas de las consecuencias jurídicas al momento de entrar en vigor una nueva disposición jurídica, dicha ley no podría modificar el supuesto ni las consecuencias ya realizadas. </w:t>
      </w:r>
    </w:p>
    <w:p w14:paraId="1AC4F097" w14:textId="77777777" w:rsidR="00136873" w:rsidRPr="00F715E7" w:rsidRDefault="00136873" w:rsidP="0098787A">
      <w:pPr>
        <w:pStyle w:val="Estilo1"/>
        <w:numPr>
          <w:ilvl w:val="0"/>
          <w:numId w:val="0"/>
        </w:numPr>
        <w:tabs>
          <w:tab w:val="left" w:pos="567"/>
        </w:tabs>
        <w:spacing w:before="0" w:after="0"/>
        <w:ind w:left="567"/>
        <w:rPr>
          <w:sz w:val="26"/>
          <w:szCs w:val="26"/>
          <w:lang w:val="es-ES_tradnl"/>
        </w:rPr>
      </w:pPr>
    </w:p>
    <w:p w14:paraId="104E8B87" w14:textId="77777777" w:rsidR="00136873" w:rsidRPr="00F715E7" w:rsidRDefault="00136873" w:rsidP="0098787A">
      <w:pPr>
        <w:pStyle w:val="Estilo1"/>
        <w:numPr>
          <w:ilvl w:val="0"/>
          <w:numId w:val="12"/>
        </w:numPr>
        <w:tabs>
          <w:tab w:val="left" w:pos="567"/>
        </w:tabs>
        <w:spacing w:before="0" w:after="0"/>
        <w:ind w:hanging="425"/>
        <w:rPr>
          <w:sz w:val="26"/>
          <w:szCs w:val="26"/>
          <w:lang w:val="es-ES_tradnl"/>
        </w:rPr>
      </w:pPr>
      <w:r w:rsidRPr="00F715E7">
        <w:rPr>
          <w:sz w:val="26"/>
          <w:szCs w:val="26"/>
          <w:lang w:val="es-ES_tradnl"/>
        </w:rPr>
        <w:t xml:space="preserve">Cuando la realización de alguna o algunas de las consecuencias de la ley anterior no se producen durante su vigencia, pero cuya realización no depende de los supuestos previstos en esa ley, sino únicamente estaban diferidas en el tiempo por el establecimiento de un plazo o término específico, en este caso la nueva disposición tampoco podría suprimir, modificar o condicionar las consecuencias no realizadas, toda vez que estas últimas no están supeditadas a las modalidades señaladas en la nueva ley. </w:t>
      </w:r>
    </w:p>
    <w:p w14:paraId="304B7623" w14:textId="77777777" w:rsidR="00136873" w:rsidRPr="00F715E7" w:rsidRDefault="00136873" w:rsidP="0098787A">
      <w:pPr>
        <w:pStyle w:val="Estilo1"/>
        <w:numPr>
          <w:ilvl w:val="0"/>
          <w:numId w:val="0"/>
        </w:numPr>
        <w:tabs>
          <w:tab w:val="left" w:pos="567"/>
        </w:tabs>
        <w:spacing w:before="0" w:after="0"/>
        <w:ind w:left="567"/>
        <w:rPr>
          <w:sz w:val="26"/>
          <w:szCs w:val="26"/>
          <w:lang w:val="es-ES_tradnl"/>
        </w:rPr>
      </w:pPr>
    </w:p>
    <w:p w14:paraId="59FFEA1D" w14:textId="6EA9A669" w:rsidR="00136873" w:rsidRPr="00F715E7" w:rsidRDefault="00136873" w:rsidP="0098787A">
      <w:pPr>
        <w:pStyle w:val="Estilo1"/>
        <w:numPr>
          <w:ilvl w:val="0"/>
          <w:numId w:val="12"/>
        </w:numPr>
        <w:tabs>
          <w:tab w:val="left" w:pos="567"/>
        </w:tabs>
        <w:spacing w:before="0" w:after="0"/>
        <w:ind w:hanging="425"/>
        <w:rPr>
          <w:sz w:val="26"/>
          <w:szCs w:val="26"/>
          <w:lang w:val="es-ES_tradnl"/>
        </w:rPr>
      </w:pPr>
      <w:r w:rsidRPr="00F715E7">
        <w:rPr>
          <w:sz w:val="26"/>
          <w:szCs w:val="26"/>
          <w:lang w:val="es-ES_tradnl"/>
        </w:rPr>
        <w:t xml:space="preserve">Cuando para la ejecución o realización de las consecuencias previstas en la disposición anterior, pendientes de producirse, es necesario que los supuestos señalados en la misma se realicen después de que entró en vigor la nueva norma, tales consecuencias deberán ejecutarse </w:t>
      </w:r>
      <w:r w:rsidRPr="00F715E7">
        <w:rPr>
          <w:sz w:val="26"/>
          <w:szCs w:val="26"/>
          <w:lang w:val="es-ES_tradnl"/>
        </w:rPr>
        <w:lastRenderedPageBreak/>
        <w:t>conforme a lo establecido en ésta, en atención a que antes de la vigencia de dicha ley no se actualizaron ni ejecutaron ninguno de los componentes de la ley anterior (supuestos y consecuencias que acontecen bajo la vigencia de la nueva disposición).</w:t>
      </w:r>
      <w:r w:rsidRPr="00F715E7">
        <w:rPr>
          <w:rStyle w:val="Refdenotaalpie"/>
          <w:sz w:val="26"/>
          <w:szCs w:val="26"/>
          <w:lang w:val="es-ES_tradnl"/>
        </w:rPr>
        <w:footnoteReference w:id="59"/>
      </w:r>
      <w:r w:rsidRPr="00F715E7">
        <w:rPr>
          <w:sz w:val="26"/>
          <w:szCs w:val="26"/>
          <w:lang w:val="es-ES_tradnl"/>
        </w:rPr>
        <w:t xml:space="preserve"> </w:t>
      </w:r>
    </w:p>
    <w:p w14:paraId="49C54CBA" w14:textId="77777777" w:rsidR="00136873" w:rsidRPr="00F715E7" w:rsidRDefault="00136873" w:rsidP="0098787A">
      <w:pPr>
        <w:pStyle w:val="Estilo1"/>
        <w:numPr>
          <w:ilvl w:val="0"/>
          <w:numId w:val="0"/>
        </w:numPr>
        <w:tabs>
          <w:tab w:val="left" w:pos="567"/>
        </w:tabs>
        <w:spacing w:before="0" w:after="0"/>
        <w:ind w:left="142"/>
        <w:rPr>
          <w:sz w:val="26"/>
          <w:szCs w:val="26"/>
          <w:lang w:val="es-ES_tradnl"/>
        </w:rPr>
      </w:pPr>
    </w:p>
    <w:p w14:paraId="6C967844" w14:textId="0242DEA1" w:rsidR="00136873" w:rsidRPr="00F715E7" w:rsidRDefault="00136873" w:rsidP="0098787A">
      <w:pPr>
        <w:pStyle w:val="Estilo1"/>
        <w:numPr>
          <w:ilvl w:val="0"/>
          <w:numId w:val="0"/>
        </w:numPr>
        <w:tabs>
          <w:tab w:val="left" w:pos="567"/>
        </w:tabs>
        <w:spacing w:before="0" w:after="0"/>
        <w:ind w:left="567"/>
        <w:rPr>
          <w:sz w:val="26"/>
          <w:szCs w:val="26"/>
          <w:lang w:val="es-ES_tradnl"/>
        </w:rPr>
      </w:pPr>
    </w:p>
    <w:p w14:paraId="44149917" w14:textId="2F3897BD" w:rsidR="00136873" w:rsidRPr="00F715E7" w:rsidRDefault="00136873"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Conforme a </w:t>
      </w:r>
      <w:r w:rsidR="0070328E" w:rsidRPr="00F715E7">
        <w:rPr>
          <w:sz w:val="26"/>
          <w:szCs w:val="26"/>
          <w:lang w:val="es-ES_tradnl"/>
        </w:rPr>
        <w:t>lo anterior</w:t>
      </w:r>
      <w:r w:rsidRPr="00F715E7">
        <w:rPr>
          <w:sz w:val="26"/>
          <w:szCs w:val="26"/>
          <w:lang w:val="es-ES_tradnl"/>
        </w:rPr>
        <w:t xml:space="preserve">, para determinar si una ley cumple con la garantía de irretroactividad prevista en el primer párrafo del artículo 14 de la Constitución Política de los Estados Unidos Mexicanos, debe precisarse que toda norma jurídica contiene un supuesto y una consecuencia, de suerte que si aquél se realiza, ésta debe producirse, generándose, así, los derechos y obligaciones correspondientes y, con ello, los destinatarios de la norma están en posibilidad de ejercitar aquéllos y cumplir con éstas. </w:t>
      </w:r>
    </w:p>
    <w:p w14:paraId="2D6E758F" w14:textId="77777777" w:rsidR="00136873" w:rsidRPr="00F715E7" w:rsidRDefault="00136873" w:rsidP="0098787A">
      <w:pPr>
        <w:pStyle w:val="Estilo1"/>
        <w:numPr>
          <w:ilvl w:val="0"/>
          <w:numId w:val="0"/>
        </w:numPr>
        <w:tabs>
          <w:tab w:val="left" w:pos="567"/>
        </w:tabs>
        <w:spacing w:before="0" w:after="0"/>
        <w:rPr>
          <w:sz w:val="26"/>
          <w:szCs w:val="26"/>
          <w:lang w:val="es-ES_tradnl"/>
        </w:rPr>
      </w:pPr>
    </w:p>
    <w:p w14:paraId="07221BE4" w14:textId="33390C69" w:rsidR="00683824" w:rsidRPr="00F715E7" w:rsidRDefault="00136873"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Sin embargo, el supuesto y la consecuencia no siempre se generan de modo inmediato, pues puede suceder que su realización ocurra</w:t>
      </w:r>
      <w:r w:rsidR="0070328E" w:rsidRPr="00F715E7">
        <w:rPr>
          <w:sz w:val="26"/>
          <w:szCs w:val="26"/>
          <w:lang w:val="es-ES_tradnl"/>
        </w:rPr>
        <w:t xml:space="preserve"> de manera</w:t>
      </w:r>
      <w:r w:rsidRPr="00F715E7">
        <w:rPr>
          <w:sz w:val="26"/>
          <w:szCs w:val="26"/>
          <w:lang w:val="es-ES_tradnl"/>
        </w:rPr>
        <w:t xml:space="preserve"> fraccionada en el tiempo. Esto acontece, por lo general, cuando el supuesto y la consecuencia son actos complejos, compuestos por diversos actos parciales. </w:t>
      </w:r>
    </w:p>
    <w:p w14:paraId="4294AB95" w14:textId="77777777" w:rsidR="00683824" w:rsidRPr="00F715E7" w:rsidRDefault="00683824" w:rsidP="0098787A">
      <w:pPr>
        <w:pStyle w:val="Prrafodelista"/>
        <w:spacing w:before="0" w:after="0"/>
        <w:rPr>
          <w:sz w:val="26"/>
          <w:szCs w:val="26"/>
          <w:lang w:val="es-ES_tradnl"/>
        </w:rPr>
      </w:pPr>
    </w:p>
    <w:p w14:paraId="6390ADA1" w14:textId="16535008" w:rsidR="00136873" w:rsidRPr="00F715E7" w:rsidRDefault="0070328E" w:rsidP="0098787A">
      <w:pPr>
        <w:pStyle w:val="Estilo1"/>
        <w:numPr>
          <w:ilvl w:val="0"/>
          <w:numId w:val="6"/>
        </w:numPr>
        <w:tabs>
          <w:tab w:val="left" w:pos="567"/>
        </w:tabs>
        <w:spacing w:before="0" w:after="0"/>
        <w:ind w:left="0"/>
        <w:rPr>
          <w:sz w:val="26"/>
          <w:szCs w:val="26"/>
          <w:lang w:val="es-ES_tradnl"/>
        </w:rPr>
      </w:pPr>
      <w:r w:rsidRPr="00F715E7">
        <w:rPr>
          <w:sz w:val="26"/>
          <w:szCs w:val="26"/>
          <w:lang w:val="es-ES_tradnl"/>
        </w:rPr>
        <w:t>E</w:t>
      </w:r>
      <w:r w:rsidR="00136873" w:rsidRPr="00F715E7">
        <w:rPr>
          <w:sz w:val="26"/>
          <w:szCs w:val="26"/>
          <w:lang w:val="es-ES_tradnl"/>
        </w:rPr>
        <w:t xml:space="preserve">n cuanto al resto de los actos componentes del supuesto que no se ejecutaron durante la vigencia de la norma que los previó, si </w:t>
      </w:r>
      <w:r w:rsidR="008233F6" w:rsidRPr="00F715E7">
        <w:rPr>
          <w:sz w:val="26"/>
          <w:szCs w:val="26"/>
          <w:lang w:val="es-ES_tradnl"/>
        </w:rPr>
        <w:t xml:space="preserve">éstos </w:t>
      </w:r>
      <w:r w:rsidR="00136873" w:rsidRPr="00F715E7">
        <w:rPr>
          <w:sz w:val="26"/>
          <w:szCs w:val="26"/>
          <w:lang w:val="es-ES_tradnl"/>
        </w:rPr>
        <w:t xml:space="preserve">son modificados por una norma posterior, ésta no puede considerarse retroactiva. En esta circunstancia, los actos o supuestos habrán de generarse bajo el imperio de la norma posterior son las disposiciones de ésta las que deben </w:t>
      </w:r>
      <w:r w:rsidR="00136873" w:rsidRPr="00F715E7">
        <w:rPr>
          <w:sz w:val="26"/>
          <w:szCs w:val="26"/>
          <w:lang w:val="es-ES_tradnl"/>
        </w:rPr>
        <w:lastRenderedPageBreak/>
        <w:t>regir su relación, así como la de las consecuencias que a tales supuestos se vinculan.</w:t>
      </w:r>
    </w:p>
    <w:p w14:paraId="19F2C838" w14:textId="1BD01150" w:rsidR="00136873" w:rsidRPr="00F715E7" w:rsidRDefault="00136873" w:rsidP="0098787A">
      <w:pPr>
        <w:pStyle w:val="Estilo1"/>
        <w:numPr>
          <w:ilvl w:val="0"/>
          <w:numId w:val="0"/>
        </w:numPr>
        <w:tabs>
          <w:tab w:val="left" w:pos="567"/>
        </w:tabs>
        <w:spacing w:before="0" w:after="0"/>
        <w:ind w:left="567"/>
        <w:rPr>
          <w:sz w:val="26"/>
          <w:szCs w:val="26"/>
          <w:lang w:val="es-ES_tradnl"/>
        </w:rPr>
      </w:pPr>
    </w:p>
    <w:p w14:paraId="4C741EC5" w14:textId="15320D8A" w:rsidR="00FB5853" w:rsidRPr="00F715E7" w:rsidRDefault="00136873" w:rsidP="00BC0A19">
      <w:pPr>
        <w:pStyle w:val="Estilo1"/>
        <w:numPr>
          <w:ilvl w:val="0"/>
          <w:numId w:val="6"/>
        </w:numPr>
        <w:tabs>
          <w:tab w:val="left" w:pos="567"/>
        </w:tabs>
        <w:spacing w:before="0" w:after="0"/>
        <w:ind w:left="0"/>
        <w:rPr>
          <w:sz w:val="26"/>
          <w:szCs w:val="26"/>
          <w:lang w:val="es-ES_tradnl"/>
        </w:rPr>
      </w:pPr>
      <w:r w:rsidRPr="00F715E7">
        <w:rPr>
          <w:sz w:val="26"/>
          <w:szCs w:val="26"/>
          <w:lang w:val="es-ES_tradnl"/>
        </w:rPr>
        <w:t>Por tanto, de conformidad con lo dispuesto por el primer párrafo del artículo 14 de la Constitución Política de los Estados Unidos Mexicanos, así como en las teorías admitidas para interpretar el tema de retroactividad, resulta que una norma transgrede el precepto constitucional antes señalado, cuando la ley trata de modificar o alterar derechos adquiridos o supuestos jurídicos y consecuencias de éstos que nacieron bajo la vigencia de una ley anterior, lo que sin lugar a dudas conculca en perjuicio de los gobernados dicha garantía individual</w:t>
      </w:r>
      <w:r w:rsidR="008233F6" w:rsidRPr="00F715E7">
        <w:rPr>
          <w:sz w:val="26"/>
          <w:szCs w:val="26"/>
          <w:lang w:val="es-ES_tradnl"/>
        </w:rPr>
        <w:t>.</w:t>
      </w:r>
      <w:r w:rsidRPr="00F715E7">
        <w:rPr>
          <w:sz w:val="26"/>
          <w:szCs w:val="26"/>
          <w:lang w:val="es-ES_tradnl"/>
        </w:rPr>
        <w:t xml:space="preserve"> </w:t>
      </w:r>
    </w:p>
    <w:p w14:paraId="1DCD4E79" w14:textId="77777777" w:rsidR="00FB5853" w:rsidRPr="00F715E7" w:rsidRDefault="00FB5853" w:rsidP="00BC0A19">
      <w:pPr>
        <w:pStyle w:val="Prrafodelista"/>
        <w:spacing w:before="0" w:after="0"/>
        <w:rPr>
          <w:sz w:val="26"/>
          <w:szCs w:val="26"/>
          <w:lang w:val="es-ES_tradnl"/>
        </w:rPr>
      </w:pPr>
    </w:p>
    <w:p w14:paraId="027CD4A0" w14:textId="3C3E1750" w:rsidR="009941BB" w:rsidRPr="00F715E7" w:rsidRDefault="008233F6" w:rsidP="00BC0A19">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Lo anterior </w:t>
      </w:r>
      <w:r w:rsidR="00136873" w:rsidRPr="00F715E7">
        <w:rPr>
          <w:sz w:val="26"/>
          <w:szCs w:val="26"/>
          <w:lang w:val="es-ES_tradnl"/>
        </w:rPr>
        <w:t>no sucede cuando se está en presencia de meras expectativas de derecho o de situaciones que aún no se han realizado, o consecuencias no derivadas de los supuestos regulados en la ley anterior, pues en esos casos, sí se permite que la nueva ley las regule.</w:t>
      </w:r>
    </w:p>
    <w:p w14:paraId="2E0EAF5E" w14:textId="77777777" w:rsidR="009941BB" w:rsidRPr="00F715E7" w:rsidRDefault="009941BB" w:rsidP="00BC0A19">
      <w:pPr>
        <w:pStyle w:val="Estilo1"/>
        <w:numPr>
          <w:ilvl w:val="0"/>
          <w:numId w:val="0"/>
        </w:numPr>
        <w:tabs>
          <w:tab w:val="left" w:pos="567"/>
        </w:tabs>
        <w:spacing w:before="0" w:after="0"/>
        <w:rPr>
          <w:sz w:val="26"/>
          <w:szCs w:val="26"/>
          <w:lang w:val="es-ES_tradnl"/>
        </w:rPr>
      </w:pPr>
    </w:p>
    <w:p w14:paraId="3CAD7609" w14:textId="7C447B46" w:rsidR="008233F6" w:rsidRPr="00F715E7" w:rsidRDefault="009941BB" w:rsidP="00BC0A19">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El derecho adquirido es aquel que ha entrado al patrimonio del individuo, en este caso, de los partidos accionantes, a su dominio o a su haber jurídico, o bien, es aquel que implica la introducción de un bien, una facultad o un provecho al patrimonio de una persona </w:t>
      </w:r>
      <w:r w:rsidR="004D22B4" w:rsidRPr="00F715E7">
        <w:rPr>
          <w:sz w:val="26"/>
          <w:szCs w:val="26"/>
          <w:lang w:val="es-ES_tradnl"/>
        </w:rPr>
        <w:t xml:space="preserve">física o </w:t>
      </w:r>
      <w:r w:rsidRPr="00F715E7">
        <w:rPr>
          <w:sz w:val="26"/>
          <w:szCs w:val="26"/>
          <w:lang w:val="es-ES_tradnl"/>
        </w:rPr>
        <w:t>jurídic</w:t>
      </w:r>
      <w:r w:rsidR="004D22B4" w:rsidRPr="00F715E7">
        <w:rPr>
          <w:sz w:val="26"/>
          <w:szCs w:val="26"/>
          <w:lang w:val="es-ES_tradnl"/>
        </w:rPr>
        <w:t>a</w:t>
      </w:r>
      <w:r w:rsidR="008233F6" w:rsidRPr="00F715E7">
        <w:rPr>
          <w:sz w:val="26"/>
          <w:szCs w:val="26"/>
          <w:lang w:val="es-ES_tradnl"/>
        </w:rPr>
        <w:t>. E</w:t>
      </w:r>
      <w:r w:rsidRPr="00F715E7">
        <w:rPr>
          <w:sz w:val="26"/>
          <w:szCs w:val="26"/>
          <w:lang w:val="es-ES_tradnl"/>
        </w:rPr>
        <w:t xml:space="preserve">n cambio, la </w:t>
      </w:r>
      <w:r w:rsidRPr="00F715E7">
        <w:rPr>
          <w:b/>
          <w:bCs/>
          <w:sz w:val="26"/>
          <w:szCs w:val="26"/>
          <w:lang w:val="es-ES_tradnl"/>
        </w:rPr>
        <w:t>expectativa de derecho</w:t>
      </w:r>
      <w:r w:rsidRPr="00F715E7">
        <w:rPr>
          <w:sz w:val="26"/>
          <w:szCs w:val="26"/>
          <w:lang w:val="es-ES_tradnl"/>
        </w:rPr>
        <w:t xml:space="preserve"> es una pretensión o esperanza de que </w:t>
      </w:r>
      <w:r w:rsidR="004D22B4" w:rsidRPr="00F715E7">
        <w:rPr>
          <w:sz w:val="26"/>
          <w:szCs w:val="26"/>
          <w:lang w:val="es-ES_tradnl"/>
        </w:rPr>
        <w:t xml:space="preserve">si </w:t>
      </w:r>
      <w:r w:rsidRPr="00F715E7">
        <w:rPr>
          <w:sz w:val="26"/>
          <w:szCs w:val="26"/>
          <w:lang w:val="es-ES_tradnl"/>
        </w:rPr>
        <w:t xml:space="preserve">se </w:t>
      </w:r>
      <w:r w:rsidR="008233F6" w:rsidRPr="00F715E7">
        <w:rPr>
          <w:sz w:val="26"/>
          <w:szCs w:val="26"/>
          <w:lang w:val="es-ES_tradnl"/>
        </w:rPr>
        <w:t xml:space="preserve">realiza a </w:t>
      </w:r>
      <w:r w:rsidRPr="00F715E7">
        <w:rPr>
          <w:sz w:val="26"/>
          <w:szCs w:val="26"/>
          <w:lang w:val="es-ES_tradnl"/>
        </w:rPr>
        <w:t xml:space="preserve">una situación determinada </w:t>
      </w:r>
      <w:r w:rsidR="004D22B4" w:rsidRPr="00F715E7">
        <w:rPr>
          <w:sz w:val="26"/>
          <w:szCs w:val="26"/>
          <w:lang w:val="es-ES_tradnl"/>
        </w:rPr>
        <w:t>s</w:t>
      </w:r>
      <w:r w:rsidRPr="00F715E7">
        <w:rPr>
          <w:sz w:val="26"/>
          <w:szCs w:val="26"/>
          <w:lang w:val="es-ES_tradnl"/>
        </w:rPr>
        <w:t>e va a generar con posterioridad un derecho</w:t>
      </w:r>
      <w:r w:rsidR="008233F6" w:rsidRPr="00F715E7">
        <w:rPr>
          <w:sz w:val="26"/>
          <w:szCs w:val="26"/>
          <w:lang w:val="es-ES_tradnl"/>
        </w:rPr>
        <w:t>. E</w:t>
      </w:r>
      <w:r w:rsidRPr="00F715E7">
        <w:rPr>
          <w:sz w:val="26"/>
          <w:szCs w:val="26"/>
          <w:lang w:val="es-ES_tradnl"/>
        </w:rPr>
        <w:t xml:space="preserve">s decir, mientras que el derecho adquirido constituye una realidad, la expectativa de derecho corresponde al futuro. </w:t>
      </w:r>
    </w:p>
    <w:p w14:paraId="65961D9F" w14:textId="77777777" w:rsidR="008233F6" w:rsidRPr="00F715E7" w:rsidRDefault="008233F6" w:rsidP="00BC0A19">
      <w:pPr>
        <w:pStyle w:val="Prrafodelista"/>
        <w:spacing w:before="0" w:after="0" w:line="360" w:lineRule="auto"/>
        <w:rPr>
          <w:sz w:val="26"/>
          <w:szCs w:val="26"/>
          <w:lang w:val="es-ES_tradnl"/>
        </w:rPr>
      </w:pPr>
    </w:p>
    <w:p w14:paraId="27890AFE" w14:textId="3CB66780" w:rsidR="009941BB" w:rsidRPr="00F715E7" w:rsidRDefault="009941BB" w:rsidP="00BC0A19">
      <w:pPr>
        <w:pStyle w:val="Estilo1"/>
        <w:numPr>
          <w:ilvl w:val="0"/>
          <w:numId w:val="6"/>
        </w:numPr>
        <w:tabs>
          <w:tab w:val="left" w:pos="567"/>
        </w:tabs>
        <w:spacing w:before="0" w:after="0"/>
        <w:ind w:left="0"/>
        <w:rPr>
          <w:sz w:val="26"/>
          <w:szCs w:val="26"/>
          <w:lang w:val="es-ES_tradnl"/>
        </w:rPr>
      </w:pPr>
      <w:r w:rsidRPr="00F715E7">
        <w:rPr>
          <w:sz w:val="26"/>
          <w:szCs w:val="26"/>
          <w:lang w:val="es-ES_tradnl"/>
        </w:rPr>
        <w:lastRenderedPageBreak/>
        <w:t>En estas condiciones, se concluye que si una ley no afecta derechos adquiridos sino simples expectativas de derecho no violan la garantía de irretroactividad de las leyes prevista en el precepto constitucional citado.</w:t>
      </w:r>
      <w:r w:rsidR="005C6D8B" w:rsidRPr="00F715E7">
        <w:rPr>
          <w:rStyle w:val="Refdenotaalpie"/>
          <w:sz w:val="26"/>
          <w:szCs w:val="26"/>
          <w:lang w:val="es-ES_tradnl"/>
        </w:rPr>
        <w:t xml:space="preserve"> </w:t>
      </w:r>
      <w:r w:rsidR="005C6D8B" w:rsidRPr="00F715E7">
        <w:rPr>
          <w:rStyle w:val="Refdenotaalpie"/>
          <w:sz w:val="26"/>
          <w:szCs w:val="26"/>
          <w:lang w:val="es-ES_tradnl"/>
        </w:rPr>
        <w:footnoteReference w:id="60"/>
      </w:r>
    </w:p>
    <w:p w14:paraId="04FFCC24" w14:textId="77777777" w:rsidR="003A1DFE" w:rsidRPr="00F715E7" w:rsidRDefault="003A1DFE" w:rsidP="00BC0A19">
      <w:pPr>
        <w:pStyle w:val="Prrafodelista"/>
        <w:spacing w:before="0" w:after="0" w:line="360" w:lineRule="auto"/>
        <w:rPr>
          <w:sz w:val="26"/>
          <w:szCs w:val="26"/>
          <w:lang w:val="es-ES_tradnl"/>
        </w:rPr>
      </w:pPr>
    </w:p>
    <w:p w14:paraId="5990043F" w14:textId="68010F98" w:rsidR="003A1DFE" w:rsidRPr="00F715E7" w:rsidRDefault="003A1DFE" w:rsidP="00BC0A19">
      <w:pPr>
        <w:pStyle w:val="Estilo1"/>
        <w:numPr>
          <w:ilvl w:val="0"/>
          <w:numId w:val="6"/>
        </w:numPr>
        <w:tabs>
          <w:tab w:val="left" w:pos="567"/>
        </w:tabs>
        <w:spacing w:before="0" w:after="0"/>
        <w:ind w:left="0"/>
        <w:rPr>
          <w:sz w:val="26"/>
          <w:szCs w:val="26"/>
          <w:lang w:val="es-ES_tradnl"/>
        </w:rPr>
      </w:pPr>
      <w:r w:rsidRPr="00F715E7">
        <w:rPr>
          <w:sz w:val="26"/>
          <w:szCs w:val="26"/>
          <w:lang w:val="es-ES_tradnl"/>
        </w:rPr>
        <w:t xml:space="preserve">En el caso, es claro que </w:t>
      </w:r>
      <w:r w:rsidR="00BC0A19" w:rsidRPr="00F715E7">
        <w:rPr>
          <w:sz w:val="26"/>
          <w:szCs w:val="26"/>
          <w:lang w:val="es-ES_tradnl"/>
        </w:rPr>
        <w:t>los partidos políticos cuentan con la prerrogativa de que se les asigne financiamiento público para actividades ordinarias, pero la</w:t>
      </w:r>
      <w:r w:rsidRPr="00F715E7">
        <w:rPr>
          <w:sz w:val="26"/>
          <w:szCs w:val="26"/>
          <w:lang w:val="es-ES_tradnl"/>
        </w:rPr>
        <w:t xml:space="preserve"> determinación del</w:t>
      </w:r>
      <w:r w:rsidR="007571E3" w:rsidRPr="00F715E7">
        <w:rPr>
          <w:sz w:val="26"/>
          <w:szCs w:val="26"/>
          <w:lang w:val="es-ES_tradnl"/>
        </w:rPr>
        <w:t xml:space="preserve"> monto de</w:t>
      </w:r>
      <w:r w:rsidRPr="00F715E7">
        <w:rPr>
          <w:sz w:val="26"/>
          <w:szCs w:val="26"/>
          <w:lang w:val="es-ES_tradnl"/>
        </w:rPr>
        <w:t xml:space="preserve"> </w:t>
      </w:r>
      <w:r w:rsidR="00BC0A19" w:rsidRPr="00F715E7">
        <w:rPr>
          <w:sz w:val="26"/>
          <w:szCs w:val="26"/>
          <w:lang w:val="es-ES_tradnl"/>
        </w:rPr>
        <w:t xml:space="preserve">éstos </w:t>
      </w:r>
      <w:r w:rsidRPr="00F715E7">
        <w:rPr>
          <w:sz w:val="26"/>
          <w:szCs w:val="26"/>
          <w:lang w:val="es-ES_tradnl"/>
        </w:rPr>
        <w:t>no es un derecho adquirido para dic</w:t>
      </w:r>
      <w:r w:rsidR="007571E3" w:rsidRPr="00F715E7">
        <w:rPr>
          <w:sz w:val="26"/>
          <w:szCs w:val="26"/>
          <w:lang w:val="es-ES_tradnl"/>
        </w:rPr>
        <w:t>has entidades, sino una expectativa de derecho que</w:t>
      </w:r>
      <w:r w:rsidR="008233F6" w:rsidRPr="00F715E7">
        <w:rPr>
          <w:sz w:val="26"/>
          <w:szCs w:val="26"/>
          <w:lang w:val="es-ES_tradnl"/>
        </w:rPr>
        <w:t>,</w:t>
      </w:r>
      <w:r w:rsidR="007571E3" w:rsidRPr="00F715E7">
        <w:rPr>
          <w:sz w:val="26"/>
          <w:szCs w:val="26"/>
          <w:lang w:val="es-ES_tradnl"/>
        </w:rPr>
        <w:t xml:space="preserve"> </w:t>
      </w:r>
      <w:r w:rsidR="00996042" w:rsidRPr="00F715E7">
        <w:rPr>
          <w:sz w:val="26"/>
          <w:szCs w:val="26"/>
          <w:lang w:val="es-ES_tradnl"/>
        </w:rPr>
        <w:t xml:space="preserve">en todo caso, </w:t>
      </w:r>
      <w:r w:rsidR="008804EA" w:rsidRPr="00F715E7">
        <w:rPr>
          <w:sz w:val="26"/>
          <w:szCs w:val="26"/>
          <w:lang w:val="es-ES_tradnl"/>
        </w:rPr>
        <w:t xml:space="preserve">se va </w:t>
      </w:r>
      <w:r w:rsidR="00EF0512" w:rsidRPr="00F715E7">
        <w:rPr>
          <w:sz w:val="26"/>
          <w:szCs w:val="26"/>
          <w:lang w:val="es-ES_tradnl"/>
        </w:rPr>
        <w:t>a generar con posterioridad</w:t>
      </w:r>
      <w:r w:rsidR="008233F6" w:rsidRPr="00F715E7">
        <w:rPr>
          <w:sz w:val="26"/>
          <w:szCs w:val="26"/>
          <w:lang w:val="es-ES_tradnl"/>
        </w:rPr>
        <w:t>,</w:t>
      </w:r>
      <w:r w:rsidR="00996042" w:rsidRPr="00F715E7">
        <w:rPr>
          <w:sz w:val="26"/>
          <w:szCs w:val="26"/>
          <w:lang w:val="es-ES_tradnl"/>
        </w:rPr>
        <w:t xml:space="preserve"> independientemente de los actos administrativos que hubiere</w:t>
      </w:r>
      <w:r w:rsidR="005C6D8B" w:rsidRPr="00F715E7">
        <w:rPr>
          <w:sz w:val="26"/>
          <w:szCs w:val="26"/>
          <w:lang w:val="es-ES_tradnl"/>
        </w:rPr>
        <w:t>n</w:t>
      </w:r>
      <w:r w:rsidR="00996042" w:rsidRPr="00F715E7">
        <w:rPr>
          <w:sz w:val="26"/>
          <w:szCs w:val="26"/>
          <w:lang w:val="es-ES_tradnl"/>
        </w:rPr>
        <w:t xml:space="preserve"> emitido las autoridades </w:t>
      </w:r>
      <w:r w:rsidR="005C6D8B" w:rsidRPr="00F715E7">
        <w:rPr>
          <w:sz w:val="26"/>
          <w:szCs w:val="26"/>
          <w:lang w:val="es-ES_tradnl"/>
        </w:rPr>
        <w:t>correspondientes con fundamento en las normas que en su caso se encontraban vigentes</w:t>
      </w:r>
      <w:r w:rsidR="00EF0512" w:rsidRPr="00F715E7">
        <w:rPr>
          <w:sz w:val="26"/>
          <w:szCs w:val="26"/>
          <w:lang w:val="es-ES_tradnl"/>
        </w:rPr>
        <w:t>.</w:t>
      </w:r>
    </w:p>
    <w:p w14:paraId="60110FB8" w14:textId="77777777" w:rsidR="00C93E70" w:rsidRPr="00F715E7" w:rsidRDefault="00C93E70" w:rsidP="0098787A">
      <w:pPr>
        <w:pStyle w:val="Estilo1"/>
        <w:numPr>
          <w:ilvl w:val="0"/>
          <w:numId w:val="0"/>
        </w:numPr>
        <w:tabs>
          <w:tab w:val="left" w:pos="567"/>
        </w:tabs>
        <w:spacing w:before="0" w:after="0"/>
        <w:ind w:left="567"/>
        <w:rPr>
          <w:sz w:val="26"/>
          <w:szCs w:val="26"/>
          <w:lang w:val="es-ES_tradnl"/>
        </w:rPr>
      </w:pPr>
    </w:p>
    <w:bookmarkEnd w:id="22"/>
    <w:bookmarkEnd w:id="23"/>
    <w:p w14:paraId="726225DF" w14:textId="77777777" w:rsidR="009E7C90" w:rsidRPr="00F715E7" w:rsidRDefault="009E7C90" w:rsidP="009E7C90">
      <w:pPr>
        <w:pStyle w:val="Estilo1"/>
        <w:numPr>
          <w:ilvl w:val="0"/>
          <w:numId w:val="6"/>
        </w:numPr>
        <w:spacing w:before="0" w:after="0"/>
        <w:ind w:left="0"/>
        <w:rPr>
          <w:sz w:val="26"/>
          <w:szCs w:val="26"/>
        </w:rPr>
      </w:pPr>
      <w:r w:rsidRPr="00F715E7">
        <w:rPr>
          <w:sz w:val="26"/>
          <w:szCs w:val="26"/>
        </w:rPr>
        <w:t>Estas consideraciones son vinculantes al haberse aprobado por mayoría de diez votos.</w:t>
      </w:r>
    </w:p>
    <w:p w14:paraId="793C0442" w14:textId="77777777" w:rsidR="00BC0A19" w:rsidRPr="00F715E7" w:rsidRDefault="00BC0A19" w:rsidP="00BC0A19">
      <w:pPr>
        <w:pStyle w:val="Estilo1"/>
        <w:numPr>
          <w:ilvl w:val="0"/>
          <w:numId w:val="0"/>
        </w:numPr>
        <w:tabs>
          <w:tab w:val="left" w:pos="567"/>
        </w:tabs>
        <w:spacing w:before="0" w:after="0"/>
        <w:rPr>
          <w:sz w:val="26"/>
          <w:szCs w:val="26"/>
        </w:rPr>
      </w:pPr>
    </w:p>
    <w:p w14:paraId="63A44CC9" w14:textId="4D044EF6" w:rsidR="00881E39" w:rsidRPr="00F715E7" w:rsidRDefault="005B2379" w:rsidP="0098787A">
      <w:pPr>
        <w:pStyle w:val="Estilo1"/>
        <w:numPr>
          <w:ilvl w:val="0"/>
          <w:numId w:val="6"/>
        </w:numPr>
        <w:tabs>
          <w:tab w:val="left" w:pos="567"/>
        </w:tabs>
        <w:spacing w:before="0" w:after="0"/>
        <w:ind w:left="0"/>
        <w:rPr>
          <w:bCs/>
          <w:sz w:val="26"/>
          <w:szCs w:val="26"/>
          <w:lang w:val="es-ES_tradnl"/>
        </w:rPr>
      </w:pPr>
      <w:r w:rsidRPr="00F715E7">
        <w:rPr>
          <w:sz w:val="26"/>
          <w:szCs w:val="26"/>
        </w:rPr>
        <w:t xml:space="preserve">En consecuencia, al resultar </w:t>
      </w:r>
      <w:r w:rsidRPr="00F715E7">
        <w:rPr>
          <w:b/>
          <w:bCs/>
          <w:sz w:val="26"/>
          <w:szCs w:val="26"/>
        </w:rPr>
        <w:t>infundados</w:t>
      </w:r>
      <w:r w:rsidR="00AD156F" w:rsidRPr="00F715E7">
        <w:rPr>
          <w:sz w:val="26"/>
          <w:szCs w:val="26"/>
        </w:rPr>
        <w:t xml:space="preserve"> los conceptos de invalidez analizados,</w:t>
      </w:r>
      <w:r w:rsidRPr="00F715E7">
        <w:rPr>
          <w:sz w:val="26"/>
          <w:szCs w:val="26"/>
        </w:rPr>
        <w:t xml:space="preserve"> </w:t>
      </w:r>
      <w:r w:rsidR="00881E39" w:rsidRPr="00F715E7">
        <w:rPr>
          <w:sz w:val="26"/>
          <w:szCs w:val="26"/>
        </w:rPr>
        <w:t xml:space="preserve">lo procedente es </w:t>
      </w:r>
      <w:r w:rsidR="00881E39" w:rsidRPr="00F715E7">
        <w:rPr>
          <w:b/>
          <w:bCs/>
          <w:sz w:val="26"/>
          <w:szCs w:val="26"/>
        </w:rPr>
        <w:t>reconocer la validez del artículo 50, apartado A, fracción I, del Código Electoral para el Estado de Veracruz</w:t>
      </w:r>
      <w:r w:rsidR="00881E39" w:rsidRPr="00F715E7">
        <w:rPr>
          <w:sz w:val="26"/>
          <w:szCs w:val="26"/>
        </w:rPr>
        <w:t xml:space="preserve">, reformado mediante el Decreto </w:t>
      </w:r>
      <w:r w:rsidR="00881E39" w:rsidRPr="00F715E7">
        <w:rPr>
          <w:sz w:val="26"/>
          <w:szCs w:val="26"/>
          <w:lang w:val="es-ES_tradnl"/>
        </w:rPr>
        <w:t>número</w:t>
      </w:r>
      <w:r w:rsidR="00881E39" w:rsidRPr="00F715E7">
        <w:rPr>
          <w:sz w:val="26"/>
          <w:szCs w:val="26"/>
        </w:rPr>
        <w:t xml:space="preserve"> 2, publicado el veintiocho de diciembre de dos mil veintiuno en la Gaceta Oficial del Estado de Veracruz de Ignacio de la Llave.</w:t>
      </w:r>
    </w:p>
    <w:p w14:paraId="4D84929D" w14:textId="77777777" w:rsidR="00B143D2" w:rsidRPr="00F715E7" w:rsidRDefault="00B143D2" w:rsidP="0098787A">
      <w:pPr>
        <w:pStyle w:val="Estilo1"/>
        <w:numPr>
          <w:ilvl w:val="0"/>
          <w:numId w:val="0"/>
        </w:numPr>
        <w:tabs>
          <w:tab w:val="left" w:pos="567"/>
        </w:tabs>
        <w:spacing w:before="0" w:after="0"/>
        <w:rPr>
          <w:sz w:val="26"/>
          <w:szCs w:val="26"/>
        </w:rPr>
      </w:pPr>
    </w:p>
    <w:p w14:paraId="5B1841E3" w14:textId="431D78DF" w:rsidR="00B91363" w:rsidRPr="00F715E7" w:rsidRDefault="0024167B" w:rsidP="0098787A">
      <w:pPr>
        <w:pStyle w:val="Estilo1"/>
        <w:numPr>
          <w:ilvl w:val="0"/>
          <w:numId w:val="6"/>
        </w:numPr>
        <w:tabs>
          <w:tab w:val="left" w:pos="567"/>
        </w:tabs>
        <w:spacing w:before="0" w:after="0"/>
        <w:ind w:left="0"/>
        <w:rPr>
          <w:sz w:val="26"/>
          <w:szCs w:val="26"/>
        </w:rPr>
      </w:pPr>
      <w:r w:rsidRPr="00F715E7">
        <w:rPr>
          <w:sz w:val="26"/>
          <w:szCs w:val="26"/>
        </w:rPr>
        <w:t xml:space="preserve">Por lo expuesto y fundado, este Tribunal Pleno de la Suprema Corte de Justicia de la Nación </w:t>
      </w:r>
      <w:r w:rsidR="009A3E97" w:rsidRPr="00F715E7">
        <w:rPr>
          <w:sz w:val="26"/>
          <w:szCs w:val="26"/>
        </w:rPr>
        <w:t xml:space="preserve">emite la siguiente: </w:t>
      </w:r>
    </w:p>
    <w:p w14:paraId="5CB2D4FB" w14:textId="77777777" w:rsidR="008233F6" w:rsidRPr="00F715E7" w:rsidRDefault="008233F6" w:rsidP="001E1EF8">
      <w:pPr>
        <w:pStyle w:val="Estilo1"/>
        <w:numPr>
          <w:ilvl w:val="0"/>
          <w:numId w:val="0"/>
        </w:numPr>
        <w:tabs>
          <w:tab w:val="left" w:pos="567"/>
        </w:tabs>
        <w:spacing w:before="0" w:after="0"/>
        <w:rPr>
          <w:sz w:val="26"/>
          <w:szCs w:val="26"/>
        </w:rPr>
      </w:pPr>
    </w:p>
    <w:p w14:paraId="4CA48CD6" w14:textId="3BD68572" w:rsidR="00214EF3" w:rsidRPr="00F715E7" w:rsidRDefault="009A3E97" w:rsidP="00FB5853">
      <w:pPr>
        <w:pStyle w:val="Ttulo1"/>
        <w:numPr>
          <w:ilvl w:val="0"/>
          <w:numId w:val="0"/>
        </w:numPr>
        <w:spacing w:before="0" w:after="0"/>
        <w:ind w:left="360"/>
        <w:rPr>
          <w:rFonts w:eastAsia="Calibri"/>
          <w:sz w:val="26"/>
          <w:szCs w:val="26"/>
        </w:rPr>
      </w:pPr>
      <w:r w:rsidRPr="00F715E7">
        <w:rPr>
          <w:rFonts w:eastAsia="Calibri"/>
          <w:sz w:val="26"/>
          <w:szCs w:val="26"/>
        </w:rPr>
        <w:t>VI</w:t>
      </w:r>
      <w:r w:rsidR="003F051F" w:rsidRPr="00F715E7">
        <w:rPr>
          <w:rFonts w:eastAsia="Calibri"/>
          <w:sz w:val="26"/>
          <w:szCs w:val="26"/>
        </w:rPr>
        <w:t>I</w:t>
      </w:r>
      <w:r w:rsidRPr="00F715E7">
        <w:rPr>
          <w:rFonts w:eastAsia="Calibri"/>
          <w:sz w:val="26"/>
          <w:szCs w:val="26"/>
        </w:rPr>
        <w:t xml:space="preserve">. </w:t>
      </w:r>
      <w:r w:rsidR="00214EF3" w:rsidRPr="00F715E7">
        <w:rPr>
          <w:rFonts w:eastAsia="Calibri"/>
          <w:sz w:val="26"/>
          <w:szCs w:val="26"/>
        </w:rPr>
        <w:t>DECISIÓN</w:t>
      </w:r>
      <w:r w:rsidR="00E51A7A">
        <w:rPr>
          <w:rFonts w:eastAsia="Calibri"/>
          <w:sz w:val="26"/>
          <w:szCs w:val="26"/>
        </w:rPr>
        <w:t>.</w:t>
      </w:r>
    </w:p>
    <w:p w14:paraId="1FE36C29" w14:textId="77777777" w:rsidR="008233F6" w:rsidRPr="00F715E7" w:rsidRDefault="008233F6" w:rsidP="00FB5853">
      <w:pPr>
        <w:pStyle w:val="Estilo1"/>
        <w:numPr>
          <w:ilvl w:val="0"/>
          <w:numId w:val="0"/>
        </w:numPr>
        <w:spacing w:before="0" w:after="0"/>
        <w:rPr>
          <w:rFonts w:eastAsia="Calibri"/>
          <w:b/>
          <w:sz w:val="26"/>
          <w:szCs w:val="26"/>
        </w:rPr>
      </w:pPr>
    </w:p>
    <w:p w14:paraId="578BC2E3" w14:textId="13CE6914" w:rsidR="00FB1C9A" w:rsidRPr="00F715E7" w:rsidRDefault="008A4D85" w:rsidP="0098787A">
      <w:pPr>
        <w:pStyle w:val="Estilo1"/>
        <w:numPr>
          <w:ilvl w:val="0"/>
          <w:numId w:val="0"/>
        </w:numPr>
        <w:spacing w:before="0" w:after="0"/>
        <w:rPr>
          <w:bCs/>
          <w:sz w:val="26"/>
          <w:szCs w:val="26"/>
        </w:rPr>
      </w:pPr>
      <w:r w:rsidRPr="00F715E7">
        <w:rPr>
          <w:rFonts w:eastAsia="Calibri"/>
          <w:b/>
          <w:sz w:val="26"/>
          <w:szCs w:val="26"/>
        </w:rPr>
        <w:t>PRIMERO.</w:t>
      </w:r>
      <w:r w:rsidRPr="00F715E7">
        <w:rPr>
          <w:rFonts w:eastAsia="Calibri"/>
          <w:sz w:val="26"/>
          <w:szCs w:val="26"/>
        </w:rPr>
        <w:t xml:space="preserve"> </w:t>
      </w:r>
      <w:r w:rsidR="00EC73CB" w:rsidRPr="00F715E7">
        <w:rPr>
          <w:bCs/>
          <w:sz w:val="26"/>
          <w:szCs w:val="26"/>
        </w:rPr>
        <w:t xml:space="preserve">Es </w:t>
      </w:r>
      <w:r w:rsidR="00EC73CB" w:rsidRPr="00F715E7">
        <w:rPr>
          <w:b/>
          <w:sz w:val="26"/>
          <w:szCs w:val="26"/>
        </w:rPr>
        <w:t>procedente</w:t>
      </w:r>
      <w:r w:rsidR="00B45773" w:rsidRPr="00F715E7">
        <w:rPr>
          <w:b/>
          <w:sz w:val="26"/>
          <w:szCs w:val="26"/>
        </w:rPr>
        <w:t>,</w:t>
      </w:r>
      <w:r w:rsidR="00EC73CB" w:rsidRPr="00F715E7">
        <w:rPr>
          <w:b/>
          <w:sz w:val="26"/>
          <w:szCs w:val="26"/>
        </w:rPr>
        <w:t xml:space="preserve"> </w:t>
      </w:r>
      <w:r w:rsidR="0021651B" w:rsidRPr="00F715E7">
        <w:rPr>
          <w:b/>
          <w:sz w:val="26"/>
          <w:szCs w:val="26"/>
        </w:rPr>
        <w:t>pero in</w:t>
      </w:r>
      <w:r w:rsidR="00EC73CB" w:rsidRPr="00F715E7">
        <w:rPr>
          <w:b/>
          <w:sz w:val="26"/>
          <w:szCs w:val="26"/>
        </w:rPr>
        <w:t>fundada</w:t>
      </w:r>
      <w:r w:rsidR="00EC73CB" w:rsidRPr="00F715E7">
        <w:rPr>
          <w:bCs/>
          <w:sz w:val="26"/>
          <w:szCs w:val="26"/>
        </w:rPr>
        <w:t xml:space="preserve"> la presente acción de inconstitucionalidad</w:t>
      </w:r>
      <w:r w:rsidR="0021651B" w:rsidRPr="00F715E7">
        <w:rPr>
          <w:bCs/>
          <w:sz w:val="26"/>
          <w:szCs w:val="26"/>
        </w:rPr>
        <w:t xml:space="preserve"> y sus acumuladas.</w:t>
      </w:r>
    </w:p>
    <w:p w14:paraId="205DA52F" w14:textId="77777777" w:rsidR="008233F6" w:rsidRPr="00F715E7" w:rsidRDefault="008233F6" w:rsidP="001E1EF8">
      <w:pPr>
        <w:pStyle w:val="Estilo1"/>
        <w:numPr>
          <w:ilvl w:val="0"/>
          <w:numId w:val="0"/>
        </w:numPr>
        <w:spacing w:before="0" w:after="0"/>
        <w:rPr>
          <w:bCs/>
          <w:sz w:val="26"/>
          <w:szCs w:val="26"/>
        </w:rPr>
      </w:pPr>
    </w:p>
    <w:p w14:paraId="42C237E8" w14:textId="5FAAAF69" w:rsidR="00B45773" w:rsidRPr="00F715E7" w:rsidRDefault="009A3E97" w:rsidP="00B45773">
      <w:pPr>
        <w:pStyle w:val="normal2"/>
        <w:spacing w:before="0" w:after="0"/>
        <w:rPr>
          <w:sz w:val="26"/>
          <w:szCs w:val="26"/>
        </w:rPr>
      </w:pPr>
      <w:r w:rsidRPr="00F715E7">
        <w:rPr>
          <w:rFonts w:eastAsia="Calibri"/>
          <w:b/>
          <w:sz w:val="26"/>
          <w:szCs w:val="26"/>
        </w:rPr>
        <w:t>SEGUNDO</w:t>
      </w:r>
      <w:r w:rsidR="008A4D85" w:rsidRPr="00F715E7">
        <w:rPr>
          <w:rFonts w:eastAsia="Calibri"/>
          <w:b/>
          <w:sz w:val="26"/>
          <w:szCs w:val="26"/>
        </w:rPr>
        <w:t>.</w:t>
      </w:r>
      <w:r w:rsidR="008A4D85" w:rsidRPr="00F715E7">
        <w:rPr>
          <w:rFonts w:eastAsia="Calibri"/>
          <w:sz w:val="26"/>
          <w:szCs w:val="26"/>
        </w:rPr>
        <w:t xml:space="preserve"> </w:t>
      </w:r>
      <w:r w:rsidR="0032687E" w:rsidRPr="00F715E7">
        <w:rPr>
          <w:rFonts w:eastAsia="Calibri"/>
          <w:sz w:val="26"/>
          <w:szCs w:val="26"/>
        </w:rPr>
        <w:t xml:space="preserve">Se </w:t>
      </w:r>
      <w:r w:rsidR="0032687E" w:rsidRPr="00F715E7">
        <w:rPr>
          <w:rFonts w:eastAsia="Calibri"/>
          <w:b/>
          <w:bCs/>
          <w:sz w:val="26"/>
          <w:szCs w:val="26"/>
        </w:rPr>
        <w:t>reconoce la validez</w:t>
      </w:r>
      <w:r w:rsidR="0032687E" w:rsidRPr="00F715E7">
        <w:rPr>
          <w:rFonts w:eastAsia="Calibri"/>
          <w:sz w:val="26"/>
          <w:szCs w:val="26"/>
        </w:rPr>
        <w:t xml:space="preserve"> del artículo 50, apartado A, fracción I, del Código Número 577 Electoral para el Estado de Veracruz de Ignacio de la Llave, reformado mediante el Decreto número 2, publicado en el Periódico Oficial de dicha entidad federativa el veintiocho de diciembre de dos mil veintiuno, de conformidad con el apartado VI de esta decisión.</w:t>
      </w:r>
    </w:p>
    <w:p w14:paraId="4DCB8F9E" w14:textId="77777777" w:rsidR="00B45773" w:rsidRPr="00F715E7" w:rsidRDefault="00B45773" w:rsidP="00B45773">
      <w:pPr>
        <w:pStyle w:val="Estilo1"/>
        <w:numPr>
          <w:ilvl w:val="0"/>
          <w:numId w:val="0"/>
        </w:numPr>
        <w:spacing w:before="0" w:after="0"/>
        <w:rPr>
          <w:rFonts w:eastAsia="Calibri"/>
        </w:rPr>
      </w:pPr>
    </w:p>
    <w:p w14:paraId="66AC8C52" w14:textId="437BDAF6" w:rsidR="008A4D85" w:rsidRPr="00F715E7" w:rsidRDefault="009A3E97" w:rsidP="001E1EF8">
      <w:pPr>
        <w:pStyle w:val="Estilo1"/>
        <w:numPr>
          <w:ilvl w:val="0"/>
          <w:numId w:val="0"/>
        </w:numPr>
        <w:spacing w:before="0" w:after="0"/>
        <w:rPr>
          <w:b/>
          <w:bCs/>
          <w:sz w:val="26"/>
        </w:rPr>
      </w:pPr>
      <w:r w:rsidRPr="00F715E7">
        <w:rPr>
          <w:rFonts w:eastAsia="Calibri"/>
          <w:b/>
          <w:sz w:val="26"/>
          <w:szCs w:val="26"/>
        </w:rPr>
        <w:t>TERCERO</w:t>
      </w:r>
      <w:r w:rsidR="008A4D85" w:rsidRPr="00F715E7">
        <w:rPr>
          <w:rFonts w:eastAsia="Calibri"/>
          <w:b/>
          <w:sz w:val="26"/>
          <w:szCs w:val="26"/>
        </w:rPr>
        <w:t>.</w:t>
      </w:r>
      <w:r w:rsidRPr="00F715E7">
        <w:rPr>
          <w:rFonts w:eastAsia="Calibri"/>
          <w:b/>
          <w:sz w:val="26"/>
          <w:szCs w:val="26"/>
        </w:rPr>
        <w:t xml:space="preserve"> </w:t>
      </w:r>
      <w:r w:rsidR="008A4D85" w:rsidRPr="00F715E7">
        <w:rPr>
          <w:rFonts w:eastAsia="Calibri"/>
          <w:sz w:val="26"/>
        </w:rPr>
        <w:t xml:space="preserve">Publíquese esta resolución en </w:t>
      </w:r>
      <w:r w:rsidR="008149C0" w:rsidRPr="00F715E7">
        <w:rPr>
          <w:rFonts w:eastAsia="Calibri"/>
          <w:sz w:val="26"/>
        </w:rPr>
        <w:t>el Semanario Judicial de la Federación y su Gaceta</w:t>
      </w:r>
      <w:r w:rsidR="008A4D85" w:rsidRPr="00F715E7">
        <w:rPr>
          <w:rFonts w:eastAsia="Calibri"/>
          <w:sz w:val="26"/>
        </w:rPr>
        <w:t>.</w:t>
      </w:r>
    </w:p>
    <w:p w14:paraId="2431985A" w14:textId="77777777" w:rsidR="008233F6" w:rsidRPr="00F715E7" w:rsidRDefault="008233F6" w:rsidP="0098787A">
      <w:pPr>
        <w:pStyle w:val="Estilo1"/>
        <w:numPr>
          <w:ilvl w:val="0"/>
          <w:numId w:val="0"/>
        </w:numPr>
        <w:spacing w:before="0" w:after="0"/>
        <w:rPr>
          <w:b/>
          <w:sz w:val="26"/>
          <w:szCs w:val="26"/>
        </w:rPr>
      </w:pPr>
    </w:p>
    <w:p w14:paraId="04901702" w14:textId="31CFCE1D" w:rsidR="008A4D85" w:rsidRPr="00F715E7" w:rsidRDefault="008A4D85" w:rsidP="001E1EF8">
      <w:pPr>
        <w:pStyle w:val="Estilo1"/>
        <w:numPr>
          <w:ilvl w:val="0"/>
          <w:numId w:val="0"/>
        </w:numPr>
        <w:spacing w:before="0" w:after="0"/>
        <w:rPr>
          <w:sz w:val="26"/>
          <w:szCs w:val="26"/>
        </w:rPr>
      </w:pPr>
      <w:r w:rsidRPr="00F715E7">
        <w:rPr>
          <w:b/>
          <w:sz w:val="26"/>
          <w:szCs w:val="26"/>
        </w:rPr>
        <w:t>Notifíquese;</w:t>
      </w:r>
      <w:r w:rsidRPr="00F715E7">
        <w:rPr>
          <w:sz w:val="26"/>
          <w:szCs w:val="26"/>
        </w:rPr>
        <w:t xml:space="preserve"> haciéndolo por medio de oficio a las partes y, en su oportunidad, archívese el expediente. </w:t>
      </w:r>
    </w:p>
    <w:p w14:paraId="0C22EA7B" w14:textId="328A3026" w:rsidR="00B45773" w:rsidRPr="00F715E7" w:rsidRDefault="00B45773" w:rsidP="004E2E10">
      <w:pPr>
        <w:pStyle w:val="Estilo1"/>
        <w:numPr>
          <w:ilvl w:val="0"/>
          <w:numId w:val="0"/>
        </w:numPr>
        <w:spacing w:before="0" w:after="0"/>
        <w:rPr>
          <w:sz w:val="26"/>
          <w:szCs w:val="26"/>
        </w:rPr>
      </w:pPr>
    </w:p>
    <w:p w14:paraId="77F01DEA" w14:textId="18DD7E30" w:rsidR="00B45773" w:rsidRPr="00F715E7" w:rsidRDefault="00B45773" w:rsidP="004E2E10">
      <w:pPr>
        <w:spacing w:before="100" w:beforeAutospacing="1" w:after="0"/>
        <w:rPr>
          <w:sz w:val="26"/>
          <w:szCs w:val="26"/>
        </w:rPr>
      </w:pPr>
      <w:r w:rsidRPr="00F715E7">
        <w:rPr>
          <w:sz w:val="26"/>
          <w:szCs w:val="26"/>
        </w:rPr>
        <w:t>Así lo resolvió el Pleno de la Suprema Corte de Justicia de la Nación:</w:t>
      </w:r>
    </w:p>
    <w:p w14:paraId="043EAAD8" w14:textId="77777777" w:rsidR="004E2E10" w:rsidRPr="00F715E7" w:rsidRDefault="004E2E10" w:rsidP="004E2E10">
      <w:pPr>
        <w:spacing w:before="100" w:beforeAutospacing="1" w:after="0"/>
        <w:rPr>
          <w:sz w:val="26"/>
          <w:szCs w:val="26"/>
        </w:rPr>
      </w:pPr>
    </w:p>
    <w:p w14:paraId="51B8974A" w14:textId="2BEF2D7C" w:rsidR="00B45773" w:rsidRPr="00F715E7" w:rsidRDefault="00B45773" w:rsidP="004E2E10">
      <w:pPr>
        <w:spacing w:before="0" w:after="0"/>
        <w:rPr>
          <w:b/>
          <w:sz w:val="26"/>
          <w:szCs w:val="26"/>
        </w:rPr>
      </w:pPr>
      <w:r w:rsidRPr="00F715E7">
        <w:rPr>
          <w:b/>
          <w:sz w:val="26"/>
          <w:szCs w:val="26"/>
        </w:rPr>
        <w:t>En relación con el punto resolutivo primero:</w:t>
      </w:r>
    </w:p>
    <w:p w14:paraId="11B0CB7C" w14:textId="77777777" w:rsidR="004E2E10" w:rsidRPr="00F715E7" w:rsidRDefault="004E2E10" w:rsidP="004E2E10">
      <w:pPr>
        <w:spacing w:before="0" w:after="0"/>
        <w:rPr>
          <w:b/>
          <w:sz w:val="26"/>
          <w:szCs w:val="26"/>
        </w:rPr>
      </w:pPr>
    </w:p>
    <w:p w14:paraId="3190C055" w14:textId="261E76D4" w:rsidR="00B45773" w:rsidRPr="00F715E7" w:rsidRDefault="00B45773" w:rsidP="004E2E10">
      <w:pPr>
        <w:spacing w:before="0" w:after="0"/>
        <w:rPr>
          <w:sz w:val="26"/>
          <w:szCs w:val="26"/>
          <w:lang w:val="es-ES"/>
        </w:rPr>
      </w:pPr>
      <w:r w:rsidRPr="00F715E7">
        <w:rPr>
          <w:sz w:val="26"/>
          <w:szCs w:val="26"/>
          <w:lang w:val="es-ES"/>
        </w:rPr>
        <w:t xml:space="preserve">Se aprobó por unanimidad de once votos de las señoras Ministras y de los señores Ministros Gutiérrez Ortiz Mena, González Alcántara Carrancá, Esquivel Mossa, Ortiz Ahlf, Aguilar Morales, Pardo Rebolledo, Piña Hernández, Ríos Farjat, Laynez Potisek, Pérez Dayán y Presidente Zaldívar Lelo de Larrea, respecto de los apartados I, II, III, IV y V relativos, respectivamente, a la competencia, a la precisión de la norma impugnada, a la oportunidad, a la legitimación (de los </w:t>
      </w:r>
      <w:r w:rsidRPr="00F715E7">
        <w:rPr>
          <w:sz w:val="26"/>
          <w:szCs w:val="26"/>
        </w:rPr>
        <w:t xml:space="preserve">Partidos Políticos del Trabajo, de la </w:t>
      </w:r>
      <w:r w:rsidRPr="00F715E7">
        <w:rPr>
          <w:sz w:val="26"/>
          <w:szCs w:val="26"/>
        </w:rPr>
        <w:lastRenderedPageBreak/>
        <w:t>Revolución Democrática, Acción Nacional y Revolucionario Institucional</w:t>
      </w:r>
      <w:r w:rsidRPr="00F715E7">
        <w:rPr>
          <w:sz w:val="26"/>
          <w:szCs w:val="26"/>
          <w:lang w:val="es-ES"/>
        </w:rPr>
        <w:t xml:space="preserve">) </w:t>
      </w:r>
      <w:r w:rsidRPr="00F715E7">
        <w:rPr>
          <w:sz w:val="26"/>
          <w:szCs w:val="26"/>
        </w:rPr>
        <w:t xml:space="preserve">y </w:t>
      </w:r>
      <w:r w:rsidRPr="00F715E7">
        <w:rPr>
          <w:sz w:val="26"/>
          <w:szCs w:val="26"/>
          <w:lang w:val="es-ES"/>
        </w:rPr>
        <w:t>a las causas de improcedencia y sobreseimiento.</w:t>
      </w:r>
    </w:p>
    <w:p w14:paraId="79C1670C" w14:textId="77777777" w:rsidR="00564DEC" w:rsidRPr="00F715E7" w:rsidRDefault="00564DEC" w:rsidP="004E2E10">
      <w:pPr>
        <w:spacing w:before="0" w:after="0"/>
        <w:rPr>
          <w:sz w:val="26"/>
          <w:szCs w:val="26"/>
          <w:lang w:val="es-ES"/>
        </w:rPr>
      </w:pPr>
    </w:p>
    <w:p w14:paraId="192F5D8A" w14:textId="296EE67E" w:rsidR="00B45773" w:rsidRPr="00F715E7" w:rsidRDefault="00B45773" w:rsidP="004E2E10">
      <w:pPr>
        <w:spacing w:before="0" w:after="0"/>
        <w:rPr>
          <w:sz w:val="26"/>
          <w:szCs w:val="26"/>
          <w:lang w:val="es-ES"/>
        </w:rPr>
      </w:pPr>
      <w:r w:rsidRPr="00F715E7">
        <w:rPr>
          <w:sz w:val="26"/>
          <w:szCs w:val="26"/>
          <w:lang w:val="es-ES"/>
        </w:rPr>
        <w:t>Se aprobó por mayoría de seis votos de las señoras Ministras y de los señores Ministros Gutiérrez Ortiz Mena, González Alcántara Carrancá, Ortiz Ahlf, Ríos Farjat, Laynez Potisek y Presidente Zaldívar Lelo de Larrea, respecto del apartado IV, relativo a la legitimación (del Partido Verde Ecologista de México). Las señoras Ministras y los señores Ministros Esquivel Mossa, Aguilar Morales, Pardo Rebolledo, Piña Hernández y Pérez Dayán votaron en contra.</w:t>
      </w:r>
    </w:p>
    <w:p w14:paraId="1E8D4079" w14:textId="77777777" w:rsidR="004E2E10" w:rsidRPr="00F715E7" w:rsidRDefault="004E2E10" w:rsidP="004E2E10">
      <w:pPr>
        <w:spacing w:before="0" w:after="0"/>
        <w:rPr>
          <w:sz w:val="26"/>
          <w:szCs w:val="26"/>
          <w:lang w:val="es-ES"/>
        </w:rPr>
      </w:pPr>
    </w:p>
    <w:p w14:paraId="492436BF" w14:textId="467B1AEE" w:rsidR="00B45773" w:rsidRPr="00F715E7" w:rsidRDefault="00B45773" w:rsidP="004E2E10">
      <w:pPr>
        <w:spacing w:before="0" w:after="0"/>
        <w:rPr>
          <w:b/>
          <w:sz w:val="26"/>
          <w:szCs w:val="26"/>
        </w:rPr>
      </w:pPr>
      <w:r w:rsidRPr="00F715E7">
        <w:rPr>
          <w:b/>
          <w:sz w:val="26"/>
          <w:szCs w:val="26"/>
        </w:rPr>
        <w:t>En relación con el punto resolutivo segundo:</w:t>
      </w:r>
    </w:p>
    <w:p w14:paraId="7BC4EFDA" w14:textId="77777777" w:rsidR="004E2E10" w:rsidRPr="00F715E7" w:rsidRDefault="004E2E10" w:rsidP="004E2E10">
      <w:pPr>
        <w:spacing w:before="0" w:after="0"/>
        <w:rPr>
          <w:b/>
          <w:sz w:val="26"/>
          <w:szCs w:val="26"/>
        </w:rPr>
      </w:pPr>
    </w:p>
    <w:p w14:paraId="0D551F65" w14:textId="234641AB" w:rsidR="00B45773" w:rsidRPr="00F715E7" w:rsidRDefault="00B45773" w:rsidP="004E2E10">
      <w:pPr>
        <w:spacing w:before="0" w:after="0"/>
        <w:rPr>
          <w:sz w:val="26"/>
          <w:szCs w:val="26"/>
          <w:lang w:val="es-ES"/>
        </w:rPr>
      </w:pPr>
      <w:r w:rsidRPr="00F715E7">
        <w:rPr>
          <w:sz w:val="26"/>
          <w:szCs w:val="26"/>
          <w:lang w:val="es-ES"/>
        </w:rPr>
        <w:t xml:space="preserve">Se aprobó por unanimidad de once votos de las señoras Ministras y de los señores Ministros Gutiérrez Ortiz Mena, González Alcántara Carrancá, Esquivel Mossa, Ortiz Ahlf, Aguilar Morales, Pardo Rebolledo, Piña Hernández, Ríos Farjat, Laynez Potisek, Pérez Dayán y Presidente Zaldívar Lelo de Larrea, respecto del apartado VI, relativo al estudio de fondo, en su tema 1, denominado “Consulta previa a los pueblos y comunidades indígenas y afromexicanas del Estado de Veracruz”, consistente en reconocer la validez del procedimiento legislativo que culminó en el </w:t>
      </w:r>
      <w:r w:rsidRPr="00F715E7">
        <w:rPr>
          <w:i/>
          <w:iCs/>
          <w:sz w:val="26"/>
          <w:szCs w:val="26"/>
          <w:lang w:val="es-ES"/>
        </w:rPr>
        <w:t>Decreto número 2 que reforma el artículo 50, apartado A, en su fracción I, del Código Electoral para el Estado de Veracruz de Ignacio de la Llave</w:t>
      </w:r>
      <w:r w:rsidRPr="00F715E7">
        <w:rPr>
          <w:sz w:val="26"/>
          <w:szCs w:val="26"/>
          <w:lang w:val="es-ES"/>
        </w:rPr>
        <w:t>, publicado en el periódico oficial de dicha entidad federativa el veintiocho de diciembre de dos mil veintiuno.</w:t>
      </w:r>
    </w:p>
    <w:p w14:paraId="595204D4" w14:textId="77777777" w:rsidR="004E2E10" w:rsidRPr="00F715E7" w:rsidRDefault="004E2E10" w:rsidP="004E2E10">
      <w:pPr>
        <w:spacing w:before="0" w:after="0"/>
        <w:rPr>
          <w:sz w:val="26"/>
          <w:szCs w:val="26"/>
          <w:lang w:val="es-ES"/>
        </w:rPr>
      </w:pPr>
    </w:p>
    <w:p w14:paraId="15A22FA6" w14:textId="4D3284C4" w:rsidR="00B45773" w:rsidRPr="00F715E7" w:rsidRDefault="00B45773" w:rsidP="004E2E10">
      <w:pPr>
        <w:spacing w:before="0" w:after="0"/>
        <w:rPr>
          <w:sz w:val="26"/>
          <w:szCs w:val="26"/>
          <w:lang w:val="es-ES"/>
        </w:rPr>
      </w:pPr>
      <w:r w:rsidRPr="00F715E7">
        <w:rPr>
          <w:sz w:val="26"/>
          <w:szCs w:val="26"/>
          <w:lang w:val="es-ES"/>
        </w:rPr>
        <w:t xml:space="preserve">Se aprobó por mayoría de diez votos de las señoras Ministras y de los señores Ministros Gutiérrez Ortiz Mena, González Alcántara Carrancá, Esquivel Mossa apartándose de los párrafos del ciento uno al ciento cinco, </w:t>
      </w:r>
      <w:r w:rsidRPr="00F715E7">
        <w:rPr>
          <w:sz w:val="26"/>
          <w:szCs w:val="26"/>
          <w:lang w:val="es-ES"/>
        </w:rPr>
        <w:lastRenderedPageBreak/>
        <w:t xml:space="preserve">Ortiz Ahlf, Pardo Rebolledo, Piña Hernández, Ríos Farjat, Laynez Potisek, Pérez Dayán y Presidente Zaldívar Lelo de Larrea, respecto del apartado VI, relativo al estudio de fondo, en su tema 2, denominado “Violación a la veda electoral prevista en el artículo 105, fracción II, penúltimo párrafo, de la Constitución Política de los Estados Unidos Mexicanos”, consistente en reconocer la validez del </w:t>
      </w:r>
      <w:r w:rsidRPr="00F715E7">
        <w:rPr>
          <w:i/>
          <w:iCs/>
          <w:sz w:val="26"/>
          <w:szCs w:val="26"/>
          <w:lang w:val="es-ES"/>
        </w:rPr>
        <w:t>Decreto número 2 que reforma el artículo 50, apartado A, en su fracción I, del Código Electoral para el Estado de Veracruz de Ignacio de la Llave</w:t>
      </w:r>
      <w:r w:rsidRPr="00F715E7">
        <w:rPr>
          <w:sz w:val="26"/>
          <w:szCs w:val="26"/>
          <w:lang w:val="es-ES"/>
        </w:rPr>
        <w:t>, publicado en el periódico oficial de dicha entidad federativa el veintiocho de diciembre de dos mil veintiuno. El señor Ministro Aguilar Morales votó en contra. La señora Ministra Piña Hernández anunció voto concurrente.</w:t>
      </w:r>
    </w:p>
    <w:p w14:paraId="261C35BC" w14:textId="77777777" w:rsidR="004E2E10" w:rsidRPr="00F715E7" w:rsidRDefault="004E2E10" w:rsidP="004E2E10">
      <w:pPr>
        <w:spacing w:before="0" w:after="0"/>
        <w:rPr>
          <w:sz w:val="26"/>
          <w:szCs w:val="26"/>
          <w:lang w:val="es-ES"/>
        </w:rPr>
      </w:pPr>
    </w:p>
    <w:p w14:paraId="0A0AB180" w14:textId="3A900C56" w:rsidR="00B45773" w:rsidRPr="00F715E7" w:rsidRDefault="00B45773" w:rsidP="004E2E10">
      <w:pPr>
        <w:spacing w:before="0" w:after="0"/>
        <w:rPr>
          <w:sz w:val="26"/>
          <w:szCs w:val="26"/>
          <w:lang w:val="es-ES"/>
        </w:rPr>
      </w:pPr>
      <w:r w:rsidRPr="00F715E7">
        <w:rPr>
          <w:sz w:val="26"/>
          <w:szCs w:val="26"/>
          <w:lang w:val="es-ES"/>
        </w:rPr>
        <w:t>Se aprobó por mayoría de nueve votos de las señoras Ministras y de los señores Ministros Gutiérrez Ortiz Mena, González Alcántara Carrancá, Esquivel Mossa, Ortiz Ahlf, Piña Hernández separándose del párrafo ciento treinta y dos, Ríos Farjat, Laynez Potisek, Pérez Dayán y Presidente Zaldívar Lelo de Larrea, respecto del apartado VI, relativo al estudio de fondo, en su tema 3, denominado “Financiamiento público local de los partidos políticos nacionales”, consistente en reconocer la validez del artículo 50, apartado A, fracción I, del Código Número 577 Electoral para el Estado de Veracruz de Ignacio de la Llave, reformado mediante el Decreto número 2, publicado en el periódico oficial de dicha entidad federativa el veintiocho de diciembre de dos mil veintiuno. Los señores Ministros Aguilar Morales y Pardo Rebolledo votaron en contra y anunciaron sendos votos particulares.</w:t>
      </w:r>
    </w:p>
    <w:p w14:paraId="4336187B" w14:textId="77777777" w:rsidR="004E2E10" w:rsidRPr="00F715E7" w:rsidRDefault="004E2E10" w:rsidP="004E2E10">
      <w:pPr>
        <w:spacing w:before="0" w:after="0"/>
        <w:rPr>
          <w:sz w:val="26"/>
          <w:szCs w:val="26"/>
          <w:lang w:val="es-ES"/>
        </w:rPr>
      </w:pPr>
    </w:p>
    <w:p w14:paraId="574825D5" w14:textId="0D560D57" w:rsidR="00B45773" w:rsidRPr="00F715E7" w:rsidRDefault="00B45773" w:rsidP="004E2E10">
      <w:pPr>
        <w:spacing w:before="0" w:after="0"/>
        <w:rPr>
          <w:sz w:val="26"/>
          <w:szCs w:val="26"/>
          <w:lang w:val="es-ES"/>
        </w:rPr>
      </w:pPr>
      <w:r w:rsidRPr="00F715E7">
        <w:rPr>
          <w:sz w:val="26"/>
          <w:szCs w:val="26"/>
          <w:lang w:val="es-ES"/>
        </w:rPr>
        <w:t xml:space="preserve">Se aprobó por mayoría de diez votos de las señoras Ministras y de los señores Ministros Gutiérrez Ortiz Mena, González Alcántara Carrancá apartándose de las consideraciones, Esquivel Mossa, Ortiz Ahlf, Pardo Rebolledo, Piña Hernández por razones distintas, Ríos Farjat, Laynez </w:t>
      </w:r>
      <w:r w:rsidRPr="00F715E7">
        <w:rPr>
          <w:sz w:val="26"/>
          <w:szCs w:val="26"/>
          <w:lang w:val="es-ES"/>
        </w:rPr>
        <w:lastRenderedPageBreak/>
        <w:t>Potisek, Pérez Dayán y Presidente Zaldívar Lelo de Larrea, respecto del apartado VI, relativo al estudio de fondo, en su tema 4, denominado “Retroactividad de la norma”, consistente en reconocer la validez del artículo 50, apartado A, fracción I, del Código Número 577 Electoral para el Estado de Veracruz de Ignacio de la Llave, reformado mediante el Decreto número 2, publicado en el periódico oficial de dicha entidad federativa el veintiocho de diciembre de dos mil veintiuno. El señor Ministro Aguilar Morales votó en contra. El señor Ministro González Alcántara Carrancá y la señora Ministra Piña Hernández anunciaron sendos votos concurrentes.</w:t>
      </w:r>
    </w:p>
    <w:p w14:paraId="394A703D" w14:textId="4002EECE" w:rsidR="004E2E10" w:rsidRPr="00F715E7" w:rsidRDefault="004E2E10" w:rsidP="004E2E10">
      <w:pPr>
        <w:spacing w:before="0" w:after="0"/>
        <w:rPr>
          <w:sz w:val="26"/>
          <w:szCs w:val="26"/>
          <w:lang w:val="es-ES"/>
        </w:rPr>
      </w:pPr>
    </w:p>
    <w:p w14:paraId="36DF6E05" w14:textId="77777777" w:rsidR="00B66133" w:rsidRPr="00F715E7" w:rsidRDefault="00B66133" w:rsidP="004E2E10">
      <w:pPr>
        <w:spacing w:before="0" w:after="0"/>
        <w:rPr>
          <w:sz w:val="26"/>
          <w:szCs w:val="26"/>
          <w:lang w:val="es-ES"/>
        </w:rPr>
      </w:pPr>
    </w:p>
    <w:p w14:paraId="05E04E46" w14:textId="77C09F63" w:rsidR="00B45773" w:rsidRPr="00F715E7" w:rsidRDefault="00B45773" w:rsidP="004E2E10">
      <w:pPr>
        <w:spacing w:before="0" w:after="0"/>
        <w:rPr>
          <w:b/>
          <w:sz w:val="26"/>
          <w:szCs w:val="26"/>
        </w:rPr>
      </w:pPr>
      <w:r w:rsidRPr="00F715E7">
        <w:rPr>
          <w:b/>
          <w:sz w:val="26"/>
          <w:szCs w:val="26"/>
        </w:rPr>
        <w:t>En relación con el punto resolutivo tercero:</w:t>
      </w:r>
    </w:p>
    <w:p w14:paraId="33AF80E4" w14:textId="77777777" w:rsidR="004E2E10" w:rsidRPr="00F715E7" w:rsidRDefault="004E2E10" w:rsidP="004E2E10">
      <w:pPr>
        <w:spacing w:before="0" w:after="0"/>
        <w:rPr>
          <w:b/>
          <w:sz w:val="26"/>
          <w:szCs w:val="26"/>
        </w:rPr>
      </w:pPr>
    </w:p>
    <w:p w14:paraId="09278A81" w14:textId="6EF08244" w:rsidR="00B45773" w:rsidRPr="00F715E7" w:rsidRDefault="00B45773" w:rsidP="004E2E10">
      <w:pPr>
        <w:spacing w:before="0" w:after="0"/>
        <w:rPr>
          <w:sz w:val="26"/>
          <w:szCs w:val="26"/>
          <w:lang w:val="es-ES"/>
        </w:rPr>
      </w:pPr>
      <w:r w:rsidRPr="00F715E7">
        <w:rPr>
          <w:sz w:val="26"/>
          <w:szCs w:val="26"/>
          <w:lang w:val="es-ES"/>
        </w:rPr>
        <w:t>Se aprobó por unanimidad de once votos de las señoras Ministras y de los señores Ministros Gutiérrez Ortiz Mena, González Alcántara Carrancá, Esquivel Mossa, Ortiz Ahlf, Aguilar Morales, Pardo Rebolledo, Piña Hernández, Ríos Farjat, Laynez Potisek, Pérez Dayán y Presidente Zaldívar Lelo de Larrea.</w:t>
      </w:r>
    </w:p>
    <w:p w14:paraId="1BC269EF" w14:textId="77777777" w:rsidR="004E2E10" w:rsidRPr="00F715E7" w:rsidRDefault="004E2E10" w:rsidP="004E2E10">
      <w:pPr>
        <w:spacing w:before="0" w:after="0"/>
        <w:rPr>
          <w:sz w:val="26"/>
          <w:szCs w:val="26"/>
          <w:lang w:val="es-ES"/>
        </w:rPr>
      </w:pPr>
    </w:p>
    <w:p w14:paraId="4CF93DBF" w14:textId="0C66B9CA" w:rsidR="00B45773" w:rsidRPr="00F715E7" w:rsidRDefault="00B45773" w:rsidP="004E2E10">
      <w:pPr>
        <w:spacing w:before="0" w:after="0"/>
        <w:rPr>
          <w:sz w:val="26"/>
          <w:szCs w:val="26"/>
        </w:rPr>
      </w:pPr>
      <w:r w:rsidRPr="00F715E7">
        <w:rPr>
          <w:sz w:val="26"/>
          <w:szCs w:val="26"/>
        </w:rPr>
        <w:t>El señor Ministro Presidente Zaldívar Lelo de Larrea declaró que el asunto se resolvió en los términos propuestos.</w:t>
      </w:r>
    </w:p>
    <w:p w14:paraId="5BF22431" w14:textId="77777777" w:rsidR="004E2E10" w:rsidRPr="00F715E7" w:rsidRDefault="004E2E10" w:rsidP="004E2E10">
      <w:pPr>
        <w:spacing w:before="0" w:after="0"/>
        <w:rPr>
          <w:sz w:val="26"/>
          <w:szCs w:val="26"/>
        </w:rPr>
      </w:pPr>
    </w:p>
    <w:p w14:paraId="7D833430" w14:textId="6EA49764" w:rsidR="004E2E10" w:rsidRPr="00F715E7" w:rsidRDefault="004E2E10" w:rsidP="004E2E10">
      <w:pPr>
        <w:spacing w:before="0" w:after="0"/>
        <w:rPr>
          <w:sz w:val="26"/>
          <w:szCs w:val="26"/>
        </w:rPr>
      </w:pPr>
      <w:r w:rsidRPr="00F715E7">
        <w:rPr>
          <w:sz w:val="26"/>
          <w:szCs w:val="26"/>
        </w:rPr>
        <w:t>Firman el Ministro Presidente y la Ministra Ponente con el Secretario General de Acuerdos que autoriza y da fe.</w:t>
      </w:r>
    </w:p>
    <w:p w14:paraId="1F7D3D73" w14:textId="6F9394CE" w:rsidR="004E2E10" w:rsidRDefault="004E2E10" w:rsidP="004E2E10">
      <w:pPr>
        <w:spacing w:before="100" w:beforeAutospacing="1"/>
        <w:jc w:val="center"/>
        <w:rPr>
          <w:sz w:val="26"/>
          <w:szCs w:val="26"/>
        </w:rPr>
      </w:pPr>
    </w:p>
    <w:p w14:paraId="0BC09AF3" w14:textId="77051658" w:rsidR="00787050" w:rsidRDefault="00787050" w:rsidP="004E2E10">
      <w:pPr>
        <w:spacing w:before="100" w:beforeAutospacing="1"/>
        <w:jc w:val="center"/>
        <w:rPr>
          <w:sz w:val="26"/>
          <w:szCs w:val="26"/>
        </w:rPr>
      </w:pPr>
    </w:p>
    <w:p w14:paraId="19372568" w14:textId="77777777" w:rsidR="00787050" w:rsidRPr="00F715E7" w:rsidRDefault="00787050" w:rsidP="004E2E10">
      <w:pPr>
        <w:spacing w:before="100" w:beforeAutospacing="1"/>
        <w:jc w:val="center"/>
        <w:rPr>
          <w:sz w:val="26"/>
          <w:szCs w:val="26"/>
        </w:rPr>
      </w:pPr>
    </w:p>
    <w:p w14:paraId="22AB39E6" w14:textId="1415E7BF" w:rsidR="004E2E10" w:rsidRPr="00F715E7" w:rsidRDefault="004E2E10" w:rsidP="004E2E10">
      <w:pPr>
        <w:spacing w:before="100" w:beforeAutospacing="1"/>
        <w:jc w:val="center"/>
        <w:rPr>
          <w:b/>
          <w:bCs/>
          <w:sz w:val="26"/>
          <w:szCs w:val="26"/>
        </w:rPr>
      </w:pPr>
      <w:r w:rsidRPr="00F715E7">
        <w:rPr>
          <w:b/>
          <w:bCs/>
          <w:sz w:val="26"/>
          <w:szCs w:val="26"/>
        </w:rPr>
        <w:lastRenderedPageBreak/>
        <w:t>PRESIDENTE</w:t>
      </w:r>
    </w:p>
    <w:p w14:paraId="1DD8ED38" w14:textId="77777777" w:rsidR="004E2E10" w:rsidRPr="00F715E7" w:rsidRDefault="004E2E10" w:rsidP="004E2E10">
      <w:pPr>
        <w:spacing w:before="100" w:beforeAutospacing="1"/>
        <w:jc w:val="center"/>
        <w:rPr>
          <w:b/>
          <w:bCs/>
          <w:sz w:val="26"/>
          <w:szCs w:val="26"/>
        </w:rPr>
      </w:pPr>
    </w:p>
    <w:p w14:paraId="26114DD2" w14:textId="6DCCD870" w:rsidR="004E2E10" w:rsidRPr="00F715E7" w:rsidRDefault="00787050" w:rsidP="004E2E10">
      <w:pPr>
        <w:spacing w:before="100" w:beforeAutospacing="1"/>
        <w:jc w:val="center"/>
        <w:rPr>
          <w:b/>
          <w:bCs/>
          <w:sz w:val="26"/>
          <w:szCs w:val="26"/>
        </w:rPr>
      </w:pPr>
      <w:r>
        <w:rPr>
          <w:b/>
          <w:bCs/>
          <w:sz w:val="26"/>
          <w:szCs w:val="26"/>
        </w:rPr>
        <w:t xml:space="preserve">MINISTRO </w:t>
      </w:r>
      <w:r w:rsidR="004E2E10" w:rsidRPr="00F715E7">
        <w:rPr>
          <w:b/>
          <w:bCs/>
          <w:sz w:val="26"/>
          <w:szCs w:val="26"/>
        </w:rPr>
        <w:t>ARTURO ZALDÍVAR LELO DE LARREA</w:t>
      </w:r>
    </w:p>
    <w:p w14:paraId="00E327EA" w14:textId="77777777" w:rsidR="004E2E10" w:rsidRPr="00F715E7" w:rsidRDefault="004E2E10" w:rsidP="004E2E10">
      <w:pPr>
        <w:spacing w:before="100" w:beforeAutospacing="1"/>
        <w:jc w:val="center"/>
        <w:rPr>
          <w:b/>
          <w:bCs/>
          <w:sz w:val="26"/>
          <w:szCs w:val="26"/>
        </w:rPr>
      </w:pPr>
    </w:p>
    <w:p w14:paraId="257EFF72" w14:textId="77777777" w:rsidR="004E2E10" w:rsidRPr="00F715E7" w:rsidRDefault="004E2E10" w:rsidP="004E2E10">
      <w:pPr>
        <w:spacing w:before="100" w:beforeAutospacing="1"/>
        <w:jc w:val="center"/>
        <w:rPr>
          <w:b/>
          <w:bCs/>
          <w:sz w:val="26"/>
          <w:szCs w:val="26"/>
        </w:rPr>
      </w:pPr>
    </w:p>
    <w:p w14:paraId="141A7E2D" w14:textId="371534D1" w:rsidR="004E2E10" w:rsidRPr="00F715E7" w:rsidRDefault="004E2E10" w:rsidP="004E2E10">
      <w:pPr>
        <w:spacing w:before="100" w:beforeAutospacing="1"/>
        <w:jc w:val="center"/>
        <w:rPr>
          <w:b/>
          <w:bCs/>
          <w:sz w:val="26"/>
          <w:szCs w:val="26"/>
        </w:rPr>
      </w:pPr>
      <w:r w:rsidRPr="00F715E7">
        <w:rPr>
          <w:b/>
          <w:bCs/>
          <w:sz w:val="26"/>
          <w:szCs w:val="26"/>
        </w:rPr>
        <w:t>PONENTE</w:t>
      </w:r>
    </w:p>
    <w:p w14:paraId="57674772" w14:textId="77777777" w:rsidR="004E2E10" w:rsidRPr="00F715E7" w:rsidRDefault="004E2E10" w:rsidP="004E2E10">
      <w:pPr>
        <w:spacing w:before="100" w:beforeAutospacing="1"/>
        <w:jc w:val="center"/>
        <w:rPr>
          <w:b/>
          <w:bCs/>
          <w:sz w:val="26"/>
          <w:szCs w:val="26"/>
        </w:rPr>
      </w:pPr>
    </w:p>
    <w:p w14:paraId="302CC05C" w14:textId="403FCC2D" w:rsidR="004E2E10" w:rsidRPr="00F715E7" w:rsidRDefault="00787050" w:rsidP="004E2E10">
      <w:pPr>
        <w:spacing w:before="100" w:beforeAutospacing="1"/>
        <w:jc w:val="center"/>
        <w:rPr>
          <w:b/>
          <w:bCs/>
          <w:sz w:val="26"/>
          <w:szCs w:val="26"/>
        </w:rPr>
      </w:pPr>
      <w:r>
        <w:rPr>
          <w:b/>
          <w:bCs/>
          <w:sz w:val="26"/>
          <w:szCs w:val="26"/>
        </w:rPr>
        <w:t xml:space="preserve">MINISTRA </w:t>
      </w:r>
      <w:r w:rsidR="004E2E10" w:rsidRPr="00F715E7">
        <w:rPr>
          <w:b/>
          <w:bCs/>
          <w:sz w:val="26"/>
          <w:szCs w:val="26"/>
        </w:rPr>
        <w:t>LORETTA ORTIZ AHLF</w:t>
      </w:r>
    </w:p>
    <w:p w14:paraId="3FDC66C8" w14:textId="77777777" w:rsidR="004E2E10" w:rsidRPr="00F715E7" w:rsidRDefault="004E2E10" w:rsidP="004E2E10">
      <w:pPr>
        <w:spacing w:before="100" w:beforeAutospacing="1"/>
        <w:jc w:val="center"/>
        <w:rPr>
          <w:b/>
          <w:bCs/>
          <w:sz w:val="26"/>
          <w:szCs w:val="26"/>
        </w:rPr>
      </w:pPr>
    </w:p>
    <w:p w14:paraId="055FECF0" w14:textId="77777777" w:rsidR="004E2E10" w:rsidRPr="00F715E7" w:rsidRDefault="004E2E10" w:rsidP="004E2E10">
      <w:pPr>
        <w:spacing w:before="100" w:beforeAutospacing="1"/>
        <w:jc w:val="center"/>
        <w:rPr>
          <w:b/>
          <w:bCs/>
          <w:sz w:val="26"/>
          <w:szCs w:val="26"/>
        </w:rPr>
      </w:pPr>
    </w:p>
    <w:p w14:paraId="4C116457" w14:textId="77777777" w:rsidR="004E2E10" w:rsidRPr="00F715E7" w:rsidRDefault="004E2E10" w:rsidP="004E2E10">
      <w:pPr>
        <w:spacing w:before="100" w:beforeAutospacing="1"/>
        <w:jc w:val="center"/>
        <w:rPr>
          <w:b/>
          <w:bCs/>
          <w:sz w:val="26"/>
          <w:szCs w:val="26"/>
        </w:rPr>
      </w:pPr>
      <w:r w:rsidRPr="00F715E7">
        <w:rPr>
          <w:b/>
          <w:bCs/>
          <w:sz w:val="26"/>
          <w:szCs w:val="26"/>
        </w:rPr>
        <w:t>SECRETARIO GENERAL DE ACUERDOS</w:t>
      </w:r>
    </w:p>
    <w:p w14:paraId="52433D70" w14:textId="77777777" w:rsidR="004E2E10" w:rsidRPr="00F715E7" w:rsidRDefault="004E2E10" w:rsidP="004E2E10">
      <w:pPr>
        <w:spacing w:before="100" w:beforeAutospacing="1"/>
        <w:jc w:val="center"/>
        <w:rPr>
          <w:b/>
          <w:bCs/>
          <w:sz w:val="26"/>
          <w:szCs w:val="26"/>
        </w:rPr>
      </w:pPr>
    </w:p>
    <w:p w14:paraId="7898D7BD" w14:textId="77777777" w:rsidR="004E2E10" w:rsidRPr="00F715E7" w:rsidRDefault="004E2E10" w:rsidP="004E2E10">
      <w:pPr>
        <w:spacing w:before="100" w:beforeAutospacing="1"/>
        <w:jc w:val="center"/>
        <w:rPr>
          <w:b/>
          <w:bCs/>
          <w:sz w:val="26"/>
          <w:szCs w:val="26"/>
        </w:rPr>
      </w:pPr>
      <w:r w:rsidRPr="00F715E7">
        <w:rPr>
          <w:b/>
          <w:bCs/>
          <w:sz w:val="26"/>
          <w:szCs w:val="26"/>
        </w:rPr>
        <w:t>LIC. RAFAEL COELLO CETINA</w:t>
      </w:r>
    </w:p>
    <w:p w14:paraId="23757BAE" w14:textId="7714744A" w:rsidR="004E2E10" w:rsidRPr="00F715E7" w:rsidRDefault="004E2E10" w:rsidP="00787050">
      <w:pPr>
        <w:spacing w:before="0" w:after="0" w:line="240" w:lineRule="auto"/>
        <w:rPr>
          <w:sz w:val="22"/>
          <w:szCs w:val="22"/>
        </w:rPr>
      </w:pPr>
      <w:r w:rsidRPr="00F715E7">
        <w:rPr>
          <w:sz w:val="22"/>
          <w:szCs w:val="22"/>
        </w:rPr>
        <w:t>ESTA FOJA FORMA PARTE DE LA</w:t>
      </w:r>
      <w:r w:rsidR="00A86B33" w:rsidRPr="00F715E7">
        <w:rPr>
          <w:sz w:val="22"/>
          <w:szCs w:val="22"/>
        </w:rPr>
        <w:t xml:space="preserve"> ACCIÓN DE INCONSTITUCIONALIDAD 3/2022 Y SUS ACUMULADAS 8/2022, 10/2022, 16/2022 y 17/2022 FALLADA POR EL PLENO </w:t>
      </w:r>
      <w:r w:rsidRPr="00F715E7">
        <w:rPr>
          <w:sz w:val="22"/>
          <w:szCs w:val="22"/>
        </w:rPr>
        <w:t xml:space="preserve">DE ESTA SUPREMA CORTE DE JUSTICIA DE LA NACIÓN EL </w:t>
      </w:r>
      <w:r w:rsidR="00A86B33" w:rsidRPr="00F715E7">
        <w:rPr>
          <w:sz w:val="22"/>
          <w:szCs w:val="22"/>
        </w:rPr>
        <w:t>PRIMERO DE SEPTIEMBRE</w:t>
      </w:r>
      <w:r w:rsidRPr="00F715E7">
        <w:rPr>
          <w:sz w:val="22"/>
          <w:szCs w:val="22"/>
        </w:rPr>
        <w:t xml:space="preserve"> DE DOS MIL VEINTIDÓS, EN EL SENTIDO SIGUIENTE: </w:t>
      </w:r>
      <w:r w:rsidR="00A86B33" w:rsidRPr="00F715E7">
        <w:rPr>
          <w:b/>
          <w:bCs/>
          <w:caps/>
          <w:sz w:val="22"/>
          <w:szCs w:val="22"/>
        </w:rPr>
        <w:t>PRIMERO.</w:t>
      </w:r>
      <w:r w:rsidR="00A86B33" w:rsidRPr="00F715E7">
        <w:rPr>
          <w:caps/>
          <w:sz w:val="22"/>
          <w:szCs w:val="22"/>
        </w:rPr>
        <w:t xml:space="preserve"> Es procedente pero infundada la presente acción de inconstitucionalidad y sus acumuladas. </w:t>
      </w:r>
      <w:r w:rsidR="00A86B33" w:rsidRPr="00F715E7">
        <w:rPr>
          <w:b/>
          <w:bCs/>
          <w:caps/>
          <w:sz w:val="22"/>
          <w:szCs w:val="22"/>
        </w:rPr>
        <w:t>SEGUNDO.</w:t>
      </w:r>
      <w:r w:rsidR="00A86B33" w:rsidRPr="00F715E7">
        <w:rPr>
          <w:caps/>
          <w:sz w:val="22"/>
          <w:szCs w:val="22"/>
        </w:rPr>
        <w:t xml:space="preserve"> </w:t>
      </w:r>
      <w:r w:rsidR="0032687E" w:rsidRPr="00F715E7">
        <w:rPr>
          <w:caps/>
          <w:sz w:val="22"/>
          <w:szCs w:val="22"/>
        </w:rPr>
        <w:t>Se reconoce la validez del artículo 50, apartado A, fracción I, del Código Número 577 Electoral para el Estado de Veracruz de Ignacio de la Llave, reformado mediante el Decreto número 2, publicado en el Periódico Oficial de dicha entidad federativa el veintiocho de diciembre de dos mil veintiuno, de conformidad con el apartado VI de esta decisión</w:t>
      </w:r>
      <w:r w:rsidR="00A86B33" w:rsidRPr="00F715E7">
        <w:rPr>
          <w:caps/>
          <w:sz w:val="22"/>
          <w:szCs w:val="22"/>
        </w:rPr>
        <w:t xml:space="preserve">. </w:t>
      </w:r>
      <w:r w:rsidR="00A86B33" w:rsidRPr="00F715E7">
        <w:rPr>
          <w:b/>
          <w:bCs/>
          <w:caps/>
          <w:sz w:val="22"/>
          <w:szCs w:val="22"/>
        </w:rPr>
        <w:t>TERCERO.</w:t>
      </w:r>
      <w:r w:rsidR="00A86B33" w:rsidRPr="00F715E7">
        <w:rPr>
          <w:caps/>
          <w:sz w:val="22"/>
          <w:szCs w:val="22"/>
        </w:rPr>
        <w:t xml:space="preserve"> Publíquese esta resolución en el Semanario Judicial de la Federación y su Gaceta. NOTIFÍQUESE.</w:t>
      </w:r>
    </w:p>
    <w:sectPr w:rsidR="004E2E10" w:rsidRPr="00F715E7" w:rsidSect="00DA2839">
      <w:pgSz w:w="12242" w:h="19295" w:code="305"/>
      <w:pgMar w:top="3402" w:right="1701" w:bottom="1701" w:left="1701" w:header="1134" w:footer="1701"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A584" w14:textId="77777777" w:rsidR="00105C26" w:rsidRDefault="00105C26" w:rsidP="006F77A4">
      <w:pPr>
        <w:spacing w:before="0" w:after="0" w:line="240" w:lineRule="auto"/>
      </w:pPr>
      <w:r>
        <w:separator/>
      </w:r>
    </w:p>
  </w:endnote>
  <w:endnote w:type="continuationSeparator" w:id="0">
    <w:p w14:paraId="75483F23" w14:textId="77777777" w:rsidR="00105C26" w:rsidRDefault="00105C26" w:rsidP="006F77A4">
      <w:pPr>
        <w:spacing w:before="0" w:after="0" w:line="240" w:lineRule="auto"/>
      </w:pPr>
      <w:r>
        <w:continuationSeparator/>
      </w:r>
    </w:p>
  </w:endnote>
  <w:endnote w:type="continuationNotice" w:id="1">
    <w:p w14:paraId="13E7BE9F" w14:textId="77777777" w:rsidR="00105C26" w:rsidRDefault="00105C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268441"/>
      <w:docPartObj>
        <w:docPartGallery w:val="Page Numbers (Bottom of Page)"/>
        <w:docPartUnique/>
      </w:docPartObj>
    </w:sdtPr>
    <w:sdtEndPr>
      <w:rPr>
        <w:sz w:val="24"/>
        <w:szCs w:val="24"/>
      </w:rPr>
    </w:sdtEndPr>
    <w:sdtContent>
      <w:p w14:paraId="3E8554AA" w14:textId="61B55390" w:rsidR="008A260B" w:rsidRPr="00484B81" w:rsidRDefault="008A260B">
        <w:pPr>
          <w:pStyle w:val="Piedepgina"/>
          <w:jc w:val="center"/>
          <w:rPr>
            <w:sz w:val="24"/>
            <w:szCs w:val="24"/>
          </w:rPr>
        </w:pPr>
        <w:r w:rsidRPr="00484B81">
          <w:rPr>
            <w:sz w:val="24"/>
            <w:szCs w:val="24"/>
          </w:rPr>
          <w:fldChar w:fldCharType="begin"/>
        </w:r>
        <w:r w:rsidRPr="00484B81">
          <w:rPr>
            <w:sz w:val="24"/>
            <w:szCs w:val="24"/>
          </w:rPr>
          <w:instrText>PAGE   \* MERGEFORMAT</w:instrText>
        </w:r>
        <w:r w:rsidRPr="00484B81">
          <w:rPr>
            <w:sz w:val="24"/>
            <w:szCs w:val="24"/>
          </w:rPr>
          <w:fldChar w:fldCharType="separate"/>
        </w:r>
        <w:r w:rsidRPr="00484B81">
          <w:rPr>
            <w:sz w:val="24"/>
            <w:szCs w:val="24"/>
            <w:lang w:val="es-ES"/>
          </w:rPr>
          <w:t>2</w:t>
        </w:r>
        <w:r w:rsidRPr="00484B81">
          <w:rPr>
            <w:sz w:val="24"/>
            <w:szCs w:val="24"/>
          </w:rPr>
          <w:fldChar w:fldCharType="end"/>
        </w:r>
      </w:p>
    </w:sdtContent>
  </w:sdt>
  <w:p w14:paraId="60F055D5" w14:textId="77777777" w:rsidR="00940E9F" w:rsidRDefault="00940E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967649"/>
      <w:docPartObj>
        <w:docPartGallery w:val="Page Numbers (Bottom of Page)"/>
        <w:docPartUnique/>
      </w:docPartObj>
    </w:sdtPr>
    <w:sdtEndPr>
      <w:rPr>
        <w:sz w:val="20"/>
        <w:szCs w:val="20"/>
      </w:rPr>
    </w:sdtEndPr>
    <w:sdtContent>
      <w:p w14:paraId="6B011F4E" w14:textId="445361B5" w:rsidR="00C26F40" w:rsidRPr="00C26F40" w:rsidRDefault="00C26F40">
        <w:pPr>
          <w:pStyle w:val="Piedepgina"/>
          <w:jc w:val="center"/>
          <w:rPr>
            <w:sz w:val="20"/>
            <w:szCs w:val="20"/>
          </w:rPr>
        </w:pPr>
        <w:r w:rsidRPr="00C26F40">
          <w:rPr>
            <w:sz w:val="20"/>
            <w:szCs w:val="20"/>
          </w:rPr>
          <w:fldChar w:fldCharType="begin"/>
        </w:r>
        <w:r w:rsidRPr="00C26F40">
          <w:rPr>
            <w:sz w:val="20"/>
            <w:szCs w:val="20"/>
          </w:rPr>
          <w:instrText>PAGE   \* MERGEFORMAT</w:instrText>
        </w:r>
        <w:r w:rsidRPr="00C26F40">
          <w:rPr>
            <w:sz w:val="20"/>
            <w:szCs w:val="20"/>
          </w:rPr>
          <w:fldChar w:fldCharType="separate"/>
        </w:r>
        <w:r w:rsidRPr="00C26F40">
          <w:rPr>
            <w:sz w:val="20"/>
            <w:szCs w:val="20"/>
            <w:lang w:val="es-ES"/>
          </w:rPr>
          <w:t>2</w:t>
        </w:r>
        <w:r w:rsidRPr="00C26F40">
          <w:rPr>
            <w:sz w:val="20"/>
            <w:szCs w:val="20"/>
          </w:rPr>
          <w:fldChar w:fldCharType="end"/>
        </w:r>
      </w:p>
    </w:sdtContent>
  </w:sdt>
  <w:p w14:paraId="55F93020" w14:textId="77777777" w:rsidR="00C26F40" w:rsidRDefault="00C26F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3CBB" w14:textId="77777777" w:rsidR="00105C26" w:rsidRDefault="00105C26" w:rsidP="006F77A4">
      <w:pPr>
        <w:spacing w:before="0" w:after="0" w:line="240" w:lineRule="auto"/>
      </w:pPr>
      <w:r>
        <w:separator/>
      </w:r>
    </w:p>
  </w:footnote>
  <w:footnote w:type="continuationSeparator" w:id="0">
    <w:p w14:paraId="67875A54" w14:textId="77777777" w:rsidR="00105C26" w:rsidRDefault="00105C26" w:rsidP="006F77A4">
      <w:pPr>
        <w:spacing w:before="0" w:after="0" w:line="240" w:lineRule="auto"/>
      </w:pPr>
      <w:r>
        <w:continuationSeparator/>
      </w:r>
    </w:p>
  </w:footnote>
  <w:footnote w:type="continuationNotice" w:id="1">
    <w:p w14:paraId="19AF4C34" w14:textId="77777777" w:rsidR="00105C26" w:rsidRDefault="00105C26">
      <w:pPr>
        <w:spacing w:before="0" w:after="0" w:line="240" w:lineRule="auto"/>
      </w:pPr>
    </w:p>
  </w:footnote>
  <w:footnote w:id="2">
    <w:p w14:paraId="30D5A320" w14:textId="43870068" w:rsidR="00CA2A31" w:rsidRPr="00B03D7F" w:rsidRDefault="00CA2A31" w:rsidP="003419F0">
      <w:pPr>
        <w:pStyle w:val="Textonotapie"/>
      </w:pPr>
      <w:r w:rsidRPr="00B03D7F">
        <w:rPr>
          <w:rStyle w:val="Refdenotaalpie"/>
        </w:rPr>
        <w:footnoteRef/>
      </w:r>
      <w:r w:rsidRPr="00B03D7F">
        <w:t xml:space="preserve"> </w:t>
      </w:r>
      <w:r w:rsidR="009C697B" w:rsidRPr="00B03D7F">
        <w:t xml:space="preserve">Debe precisarse que, aunque fueron asentados sus nombres en la demanda, no obra la firma de Ricardo Cantú Garza </w:t>
      </w:r>
      <w:r w:rsidR="00640DE2" w:rsidRPr="00B03D7F">
        <w:t>y</w:t>
      </w:r>
      <w:r w:rsidR="009C697B" w:rsidRPr="00B03D7F">
        <w:t xml:space="preserve"> Geovanna del Carmen Bañuelos de la Torre, como integrantes de dicha Comisión.</w:t>
      </w:r>
    </w:p>
  </w:footnote>
  <w:footnote w:id="3">
    <w:p w14:paraId="09A86A5D" w14:textId="7D4A77F0" w:rsidR="003C3BCD" w:rsidRPr="00B03D7F" w:rsidRDefault="003C3BCD" w:rsidP="003419F0">
      <w:pPr>
        <w:pStyle w:val="Textonotapie"/>
      </w:pPr>
      <w:r w:rsidRPr="00B03D7F">
        <w:rPr>
          <w:rStyle w:val="Refdenotaalpie"/>
        </w:rPr>
        <w:footnoteRef/>
      </w:r>
      <w:r w:rsidRPr="00B03D7F">
        <w:t xml:space="preserve"> Consider</w:t>
      </w:r>
      <w:r w:rsidR="00EF0411" w:rsidRPr="00B03D7F">
        <w:t>ó</w:t>
      </w:r>
      <w:r w:rsidRPr="00B03D7F">
        <w:t xml:space="preserve"> aplicables los siguientes precedentes y opiniones de la Suprema Corte de Justicia de la Nación como de la Sala Superior del Poder Judicial de la Federación: A.I. 5/2015, A.I. 38/20</w:t>
      </w:r>
      <w:r w:rsidR="00C24B0F" w:rsidRPr="00B03D7F">
        <w:t>1</w:t>
      </w:r>
      <w:r w:rsidRPr="00B03D7F">
        <w:t>7, SUP-OP-1/2017, SUP-OP-8/2017. Así como los precedentes SUP-JRC-336/2016 y SUP-JRC-83/2017.</w:t>
      </w:r>
    </w:p>
  </w:footnote>
  <w:footnote w:id="4">
    <w:p w14:paraId="3312C3BE" w14:textId="0BEE82FC" w:rsidR="00811083" w:rsidRPr="00B03D7F" w:rsidRDefault="00811083" w:rsidP="003419F0">
      <w:pPr>
        <w:pStyle w:val="Textonotapie"/>
      </w:pPr>
      <w:r w:rsidRPr="00B03D7F">
        <w:rPr>
          <w:rStyle w:val="Refdenotaalpie"/>
        </w:rPr>
        <w:footnoteRef/>
      </w:r>
      <w:r w:rsidRPr="00B03D7F">
        <w:t xml:space="preserve"> Es importante hacer notar que el órgano legislativo local rindió de forma extemporánea los informes sobre las acciones de inconstitucionalidad 3/2022, 8/2022 y 10/2022; según se advierte en el acuerdo de cuatro de marzo de dos mil veintidós. Dicho proveído fue controvertido por el Congreso del Estado de Veracruz vía </w:t>
      </w:r>
      <w:r w:rsidR="00554B2D" w:rsidRPr="00B03D7F">
        <w:t xml:space="preserve">el Recurso </w:t>
      </w:r>
      <w:r w:rsidRPr="00B03D7F">
        <w:t xml:space="preserve">de </w:t>
      </w:r>
      <w:r w:rsidR="00554B2D" w:rsidRPr="00B03D7F">
        <w:t>Reclamación 66/2022-CA</w:t>
      </w:r>
      <w:r w:rsidRPr="00B03D7F">
        <w:t xml:space="preserve"> y fue resuelto el veintisiete de abril de este año por unanimidad de votos de los integrantes de la Primera Sala de la Suprema de Justicia de la Nación, en el sentido de desechar el recurso por improcedente.</w:t>
      </w:r>
      <w:r w:rsidR="00554B2D" w:rsidRPr="00B03D7F">
        <w:t xml:space="preserve"> </w:t>
      </w:r>
      <w:r w:rsidRPr="00B03D7F">
        <w:t>Debido a esto, no se reproduce</w:t>
      </w:r>
      <w:r w:rsidR="00554B2D" w:rsidRPr="00B03D7F">
        <w:t>n</w:t>
      </w:r>
      <w:r w:rsidRPr="00B03D7F">
        <w:t xml:space="preserve"> en este apartado el contenido de esos informes. </w:t>
      </w:r>
    </w:p>
  </w:footnote>
  <w:footnote w:id="5">
    <w:p w14:paraId="55B6D550" w14:textId="77777777" w:rsidR="00E158F8" w:rsidRPr="00B03D7F" w:rsidRDefault="00E158F8" w:rsidP="003419F0">
      <w:pPr>
        <w:pStyle w:val="Footnote"/>
        <w:rPr>
          <w:sz w:val="20"/>
          <w:szCs w:val="20"/>
        </w:rPr>
      </w:pPr>
      <w:r w:rsidRPr="00B03D7F">
        <w:rPr>
          <w:rStyle w:val="Refdenotaalpie"/>
          <w:sz w:val="20"/>
          <w:szCs w:val="20"/>
        </w:rPr>
        <w:footnoteRef/>
      </w:r>
      <w:r w:rsidRPr="00B03D7F">
        <w:rPr>
          <w:sz w:val="20"/>
          <w:szCs w:val="20"/>
        </w:rPr>
        <w:t xml:space="preserve"> Artículo 105. La Suprema Corte de Justicia de la Nación conocerá, en los términos que señale la ley reglamentaria, de los asuntos siguientes: […]</w:t>
      </w:r>
    </w:p>
    <w:p w14:paraId="62224BFB" w14:textId="77777777" w:rsidR="00E158F8" w:rsidRPr="00B03D7F" w:rsidRDefault="00E158F8" w:rsidP="003419F0">
      <w:pPr>
        <w:pStyle w:val="Footnote"/>
        <w:rPr>
          <w:sz w:val="20"/>
          <w:szCs w:val="20"/>
        </w:rPr>
      </w:pPr>
      <w:r w:rsidRPr="00B03D7F">
        <w:rPr>
          <w:sz w:val="20"/>
          <w:szCs w:val="20"/>
        </w:rPr>
        <w:t>II.- De las acciones de inconstitucionalidad que tengan por objeto plantear la posible contradicción entre una norma de carácter general y esta Constitución.</w:t>
      </w:r>
    </w:p>
    <w:p w14:paraId="58C9C7EE" w14:textId="77777777" w:rsidR="00E158F8" w:rsidRPr="00B03D7F" w:rsidRDefault="00E158F8" w:rsidP="003419F0">
      <w:pPr>
        <w:pStyle w:val="Footnote"/>
        <w:rPr>
          <w:sz w:val="20"/>
          <w:szCs w:val="20"/>
        </w:rPr>
      </w:pPr>
      <w:r w:rsidRPr="00B03D7F">
        <w:rPr>
          <w:sz w:val="20"/>
          <w:szCs w:val="20"/>
        </w:rPr>
        <w:t>Las acciones de inconstitucionalidad podrán ejercitarse, dentro de los treinta días naturales siguientes a la fecha de publicación de la norma, por: […]</w:t>
      </w:r>
    </w:p>
    <w:p w14:paraId="5007D6F1" w14:textId="77777777" w:rsidR="00E158F8" w:rsidRPr="00B03D7F" w:rsidRDefault="00E158F8" w:rsidP="003419F0">
      <w:pPr>
        <w:pStyle w:val="Footnote"/>
        <w:rPr>
          <w:sz w:val="20"/>
          <w:szCs w:val="20"/>
        </w:rPr>
      </w:pPr>
      <w:r w:rsidRPr="00B03D7F">
        <w:rPr>
          <w:sz w:val="20"/>
          <w:szCs w:val="20"/>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otorgó el registro; […]</w:t>
      </w:r>
    </w:p>
  </w:footnote>
  <w:footnote w:id="6">
    <w:p w14:paraId="28C28B4C" w14:textId="77777777" w:rsidR="00E158F8" w:rsidRPr="00B03D7F" w:rsidRDefault="00E158F8" w:rsidP="003419F0">
      <w:pPr>
        <w:pStyle w:val="Footnote"/>
        <w:rPr>
          <w:sz w:val="20"/>
          <w:szCs w:val="20"/>
        </w:rPr>
      </w:pPr>
      <w:r w:rsidRPr="00B03D7F">
        <w:rPr>
          <w:rStyle w:val="Refdenotaalpie"/>
          <w:sz w:val="20"/>
          <w:szCs w:val="20"/>
        </w:rPr>
        <w:footnoteRef/>
      </w:r>
      <w:r w:rsidRPr="00B03D7F">
        <w:rPr>
          <w:sz w:val="20"/>
          <w:szCs w:val="20"/>
        </w:rPr>
        <w:t xml:space="preserve"> Artículo 10. La Suprema Corte de Justicia de la Nación conocerá funcionando en Pleno:</w:t>
      </w:r>
    </w:p>
    <w:p w14:paraId="4A66A8F7" w14:textId="77777777" w:rsidR="00E158F8" w:rsidRPr="00B03D7F" w:rsidRDefault="00E158F8" w:rsidP="003419F0">
      <w:pPr>
        <w:pStyle w:val="Footnote"/>
        <w:rPr>
          <w:sz w:val="20"/>
          <w:szCs w:val="20"/>
        </w:rPr>
      </w:pPr>
      <w:r w:rsidRPr="00B03D7F">
        <w:rPr>
          <w:sz w:val="20"/>
          <w:szCs w:val="20"/>
        </w:rPr>
        <w:t>I. De las controversias constitucionales y acciones de inconstitucionalidad a que se refieren las fracciones I y II del artículo 105 de la Constitución Política de los Estados Unidos Mexicanos; […].</w:t>
      </w:r>
    </w:p>
  </w:footnote>
  <w:footnote w:id="7">
    <w:p w14:paraId="552649C2" w14:textId="77777777" w:rsidR="00E158F8" w:rsidRPr="00B03D7F" w:rsidRDefault="00E158F8" w:rsidP="003419F0">
      <w:pPr>
        <w:pStyle w:val="Footnote"/>
        <w:rPr>
          <w:sz w:val="20"/>
          <w:szCs w:val="20"/>
        </w:rPr>
      </w:pPr>
      <w:r w:rsidRPr="00B03D7F">
        <w:rPr>
          <w:rStyle w:val="Refdenotaalpie"/>
          <w:sz w:val="20"/>
          <w:szCs w:val="20"/>
        </w:rPr>
        <w:footnoteRef/>
      </w:r>
      <w:r w:rsidRPr="00B03D7F">
        <w:rPr>
          <w:sz w:val="20"/>
          <w:szCs w:val="20"/>
        </w:rPr>
        <w:t xml:space="preserve"> Artículo 41. Las sentencias deberán contener:</w:t>
      </w:r>
    </w:p>
    <w:p w14:paraId="38E86960" w14:textId="77777777" w:rsidR="00E158F8" w:rsidRPr="00B03D7F" w:rsidRDefault="00E158F8" w:rsidP="003419F0">
      <w:pPr>
        <w:pStyle w:val="Footnote"/>
        <w:rPr>
          <w:sz w:val="20"/>
          <w:szCs w:val="20"/>
        </w:rPr>
      </w:pPr>
      <w:r w:rsidRPr="00B03D7F">
        <w:rPr>
          <w:sz w:val="20"/>
          <w:szCs w:val="20"/>
        </w:rPr>
        <w:t>I. La fijación breve y precisa de las normas generales, actos u omisiones objeto de la controversia y, en su caso, la apreciación de las pruebas conducentes a tenerlos o no por demostrados;</w:t>
      </w:r>
    </w:p>
  </w:footnote>
  <w:footnote w:id="8">
    <w:p w14:paraId="24AC273C" w14:textId="5C05629C" w:rsidR="004256D6" w:rsidRDefault="004256D6">
      <w:pPr>
        <w:pStyle w:val="Textonotapie"/>
      </w:pPr>
      <w:r>
        <w:rPr>
          <w:rStyle w:val="Refdenotaalpie"/>
        </w:rPr>
        <w:footnoteRef/>
      </w:r>
      <w:r>
        <w:t xml:space="preserve"> </w:t>
      </w:r>
      <w:r>
        <w:rPr>
          <w:color w:val="000000"/>
        </w:rPr>
        <w:t>C</w:t>
      </w:r>
      <w:r w:rsidRPr="00563E60">
        <w:rPr>
          <w:color w:val="000000"/>
        </w:rPr>
        <w:t>uya reviviscencia se determinó por este Pleno al resolver la acción de inconstitucionalidad 241/2020 y sus acumuladas 242/2020, 243/2020, 248/2020 y 251/2020.</w:t>
      </w:r>
    </w:p>
  </w:footnote>
  <w:footnote w:id="9">
    <w:p w14:paraId="352DFED5" w14:textId="77777777" w:rsidR="0021520A" w:rsidRPr="00B03D7F" w:rsidRDefault="00E158F8" w:rsidP="003419F0">
      <w:pPr>
        <w:pStyle w:val="Footnote"/>
        <w:rPr>
          <w:sz w:val="20"/>
          <w:szCs w:val="20"/>
        </w:rPr>
      </w:pPr>
      <w:r w:rsidRPr="00B03D7F">
        <w:rPr>
          <w:rStyle w:val="Refdenotaalpie"/>
          <w:sz w:val="20"/>
          <w:szCs w:val="20"/>
        </w:rPr>
        <w:footnoteRef/>
      </w:r>
      <w:r w:rsidRPr="00B03D7F">
        <w:rPr>
          <w:sz w:val="20"/>
          <w:szCs w:val="20"/>
        </w:rPr>
        <w:t xml:space="preserve"> Artículo 60.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347636FF" w14:textId="685F9041" w:rsidR="00E158F8" w:rsidRPr="00B03D7F" w:rsidRDefault="00E158F8" w:rsidP="003419F0">
      <w:pPr>
        <w:pStyle w:val="Footnote"/>
        <w:rPr>
          <w:sz w:val="20"/>
          <w:szCs w:val="20"/>
        </w:rPr>
      </w:pPr>
      <w:r w:rsidRPr="00B03D7F">
        <w:rPr>
          <w:sz w:val="20"/>
          <w:szCs w:val="20"/>
        </w:rPr>
        <w:t>En materia electoral, para el cómputo de los plazos, todos los días son hábiles.</w:t>
      </w:r>
    </w:p>
  </w:footnote>
  <w:footnote w:id="10">
    <w:p w14:paraId="05544D00" w14:textId="1C4B1654" w:rsidR="00142512" w:rsidRPr="00B03D7F" w:rsidRDefault="00142512" w:rsidP="003419F0">
      <w:pPr>
        <w:pStyle w:val="Footnote"/>
        <w:rPr>
          <w:sz w:val="20"/>
          <w:szCs w:val="20"/>
        </w:rPr>
      </w:pPr>
      <w:r w:rsidRPr="00B03D7F">
        <w:rPr>
          <w:rStyle w:val="Refdenotaalpie"/>
          <w:sz w:val="20"/>
          <w:szCs w:val="20"/>
        </w:rPr>
        <w:footnoteRef/>
      </w:r>
      <w:r w:rsidRPr="00B03D7F">
        <w:rPr>
          <w:sz w:val="20"/>
          <w:szCs w:val="20"/>
          <w:vertAlign w:val="superscript"/>
        </w:rPr>
        <w:t xml:space="preserve"> </w:t>
      </w:r>
      <w:r w:rsidR="00944404" w:rsidRPr="00B03D7F">
        <w:rPr>
          <w:sz w:val="20"/>
          <w:szCs w:val="20"/>
        </w:rPr>
        <w:t>Artículo</w:t>
      </w:r>
      <w:r w:rsidRPr="00B03D7F">
        <w:rPr>
          <w:sz w:val="20"/>
          <w:szCs w:val="20"/>
        </w:rPr>
        <w:t xml:space="preserve"> 62. […] </w:t>
      </w:r>
    </w:p>
    <w:p w14:paraId="0E1ABBD7" w14:textId="77777777" w:rsidR="00142512" w:rsidRPr="00B03D7F" w:rsidRDefault="00142512" w:rsidP="003419F0">
      <w:pPr>
        <w:pStyle w:val="Footnote"/>
        <w:rPr>
          <w:sz w:val="20"/>
          <w:szCs w:val="20"/>
        </w:rPr>
      </w:pPr>
      <w:r w:rsidRPr="00B03D7F">
        <w:rPr>
          <w:sz w:val="20"/>
          <w:szCs w:val="20"/>
        </w:rP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11">
    <w:p w14:paraId="17F461E0" w14:textId="77777777" w:rsidR="00F85BCA" w:rsidRPr="00B03D7F" w:rsidRDefault="00F85BCA" w:rsidP="003419F0">
      <w:pPr>
        <w:pStyle w:val="Textonotapie"/>
      </w:pPr>
      <w:r w:rsidRPr="00B03D7F">
        <w:rPr>
          <w:rStyle w:val="Refdenotaalpie"/>
        </w:rPr>
        <w:footnoteRef/>
      </w:r>
      <w:r w:rsidRPr="00B03D7F">
        <w:t xml:space="preserve"> Firmaron la demanda doce de diecisiete integrantes.</w:t>
      </w:r>
    </w:p>
  </w:footnote>
  <w:footnote w:id="12">
    <w:p w14:paraId="535B066C" w14:textId="78AA1DB1" w:rsidR="004D44A8" w:rsidRPr="00B03D7F" w:rsidRDefault="004D44A8" w:rsidP="003419F0">
      <w:pPr>
        <w:pStyle w:val="Textonotapie"/>
      </w:pPr>
      <w:r w:rsidRPr="00B03D7F">
        <w:rPr>
          <w:rStyle w:val="Refdenotaalpie"/>
        </w:rPr>
        <w:footnoteRef/>
      </w:r>
      <w:r w:rsidRPr="00B03D7F">
        <w:t xml:space="preserve"> Artículo 43. La Comisión Coordinadora Nacional se integrará con un mínimo de nueve y hasta diecisiete integrantes, en ningún caso, habrá un número superior al cincuenta por ciento más uno del mismo géner</w:t>
      </w:r>
      <w:r w:rsidR="009E0963" w:rsidRPr="00B03D7F">
        <w:t>o,</w:t>
      </w:r>
      <w:r w:rsidRPr="00B03D7F">
        <w:t xml:space="preserve"> se elegirán en cada Congreso Nacional ordinario y será la representación política y legal 24 del Partido del Trabajo y de su dirección Nacional. Deberá ser convocada por lo menos con tres días de anticipación de manera ordinaria una vez a la semana y de manera extraordinaria por lo menos con </w:t>
      </w:r>
      <w:r w:rsidR="009E0963" w:rsidRPr="00B03D7F">
        <w:t>tres</w:t>
      </w:r>
      <w:r w:rsidRPr="00B03D7F">
        <w:t xml:space="preserve"> día</w:t>
      </w:r>
      <w:r w:rsidR="009E0963" w:rsidRPr="00B03D7F">
        <w:t>s</w:t>
      </w:r>
      <w:r w:rsidRPr="00B03D7F">
        <w:t xml:space="preserve"> de anticipación</w:t>
      </w:r>
      <w:r w:rsidR="009E0963" w:rsidRPr="00B03D7F">
        <w:t xml:space="preserve"> de manera ordinaria una vez a la semana y de manera extraordinaria por lo menos un día de anticipación</w:t>
      </w:r>
      <w:r w:rsidRPr="00B03D7F">
        <w:t xml:space="preserve">, cuando así se requiera por cualquiera de sus </w:t>
      </w:r>
      <w:r w:rsidR="009E0963" w:rsidRPr="00B03D7F">
        <w:t>integrantes</w:t>
      </w:r>
      <w:r w:rsidRPr="00B03D7F">
        <w:t>. El quórum legal para sesionar se integrará con la asistencia de la mayoría de sus integrantes. Todos los acuerdos, resoluciones y actos de la Comisión Coordinadora Nacional tendrán plena validez en su caso, con la aprobación y firma de la mayoría de sus integrantes.</w:t>
      </w:r>
    </w:p>
    <w:p w14:paraId="4426B635" w14:textId="77777777" w:rsidR="009E0963" w:rsidRPr="00B03D7F" w:rsidRDefault="004D44A8" w:rsidP="003419F0">
      <w:pPr>
        <w:pStyle w:val="Textonotapie"/>
      </w:pPr>
      <w:r w:rsidRPr="00B03D7F">
        <w:t>Artículo 44. Son atribuciones y facultades de la Comisión Coordinadora Nacional:</w:t>
      </w:r>
    </w:p>
    <w:p w14:paraId="5655356C" w14:textId="0E9764FF" w:rsidR="004D44A8" w:rsidRPr="00B03D7F" w:rsidRDefault="004D44A8" w:rsidP="003419F0">
      <w:pPr>
        <w:pStyle w:val="Textonotapie"/>
      </w:pPr>
      <w:r w:rsidRPr="00B03D7F">
        <w:t>a) Ejercer la representación política y legal del Partido del Trabajo en todo tipo de asuntos de carácter judicial,</w:t>
      </w:r>
      <w:r w:rsidR="009E0963" w:rsidRPr="00B03D7F">
        <w:t xml:space="preserve"> laboral, mercantil, civil, financiero,</w:t>
      </w:r>
      <w:r w:rsidRPr="00B03D7F">
        <w:t xml:space="preserve"> político, electoral, administrativo, patrimonial y</w:t>
      </w:r>
      <w:r w:rsidR="009E0963" w:rsidRPr="00B03D7F">
        <w:t xml:space="preserve"> otros, y</w:t>
      </w:r>
      <w:r w:rsidRPr="00B03D7F">
        <w:t xml:space="preserve"> para delegar poderes y/o establecer contratos o convenios en el marco de la legislación vigente. También tendrá facultad de mandatar y conceder poder cambiario y autorizar la apertura, cierre, cancelación, ejercicio y operación de cuentas bancarias a los tesoreros nacionales y de las Entidades Federativas</w:t>
      </w:r>
      <w:r w:rsidR="008C2B0B" w:rsidRPr="00B03D7F">
        <w:t xml:space="preserve"> […]</w:t>
      </w:r>
    </w:p>
  </w:footnote>
  <w:footnote w:id="13">
    <w:p w14:paraId="1ABBC9D5" w14:textId="77777777" w:rsidR="00FB0339" w:rsidRPr="00B03D7F" w:rsidRDefault="00FB0339" w:rsidP="003419F0">
      <w:pPr>
        <w:pStyle w:val="Textonotapie"/>
      </w:pPr>
      <w:r w:rsidRPr="00B03D7F">
        <w:rPr>
          <w:rStyle w:val="Refdenotaalpie"/>
        </w:rPr>
        <w:footnoteRef/>
      </w:r>
      <w:r w:rsidRPr="00B03D7F">
        <w:t xml:space="preserve"> Artículo 11. El actor, el demandado y, en su caso, </w:t>
      </w:r>
      <w:r w:rsidRPr="00B03D7F">
        <w:t>el tercero interesado deberán comparecer a juicio por conducto de los funcionarios que, en términos de las normas que los rigen, estén facultados para representarlos. En todo caso, se presumirá que quien comparezca a juicio goza de la representación legal y cuenta con la capacidad para hacerlo, salvo prueba en contrario.</w:t>
      </w:r>
    </w:p>
    <w:p w14:paraId="6AC1DC25" w14:textId="52BEDF00" w:rsidR="00FB0339" w:rsidRPr="00B03D7F" w:rsidRDefault="00FB0339" w:rsidP="003419F0">
      <w:pPr>
        <w:pStyle w:val="Textonotapie"/>
      </w:pPr>
      <w:r w:rsidRPr="00B03D7F">
        <w:t>En las controversias constitucionales no se admitirá ninguna forma diversa de representación a la prevista en el párrafo anterior; sin embargo, por medio de oficio podrán acreditarse delegados para que hagan promociones, concurran a las audiencias y en ellas rindan pruebas, formulen alegatos y promuevan los incidentes y recursos previstos en esta ley.</w:t>
      </w:r>
    </w:p>
  </w:footnote>
  <w:footnote w:id="14">
    <w:p w14:paraId="6778465A" w14:textId="73E6C95C" w:rsidR="00F70DF8" w:rsidRPr="00B03D7F" w:rsidRDefault="00F70DF8" w:rsidP="003419F0">
      <w:pPr>
        <w:pStyle w:val="Textonotapie"/>
      </w:pPr>
      <w:r w:rsidRPr="00B03D7F">
        <w:rPr>
          <w:rStyle w:val="Refdenotaalpie"/>
        </w:rPr>
        <w:footnoteRef/>
      </w:r>
      <w:r w:rsidRPr="00B03D7F">
        <w:t xml:space="preserve"> Esta misma determinación fue adoptada en idénticas circunstancias al resolver la </w:t>
      </w:r>
      <w:r w:rsidR="00FD6E8A" w:rsidRPr="00B03D7F">
        <w:t>acción de inconstitucionalidad 278/2020 y sus acumuladas 279/2020, 280/2020, 281/2020, 282/2020 y 284/2020. Sentencia emitida por el Pleno de este Alto Tribunal, Ponente: Javier Laynez Potisek, 18 de febrero de 2021.</w:t>
      </w:r>
    </w:p>
  </w:footnote>
  <w:footnote w:id="15">
    <w:p w14:paraId="26894FC1" w14:textId="77777777" w:rsidR="00715BC3" w:rsidRPr="00B03D7F" w:rsidRDefault="00715BC3" w:rsidP="003419F0">
      <w:pPr>
        <w:pStyle w:val="Textonotapie"/>
      </w:pPr>
      <w:r w:rsidRPr="00B03D7F">
        <w:rPr>
          <w:rStyle w:val="Refdenotaalpie"/>
        </w:rPr>
        <w:footnoteRef/>
      </w:r>
      <w:r w:rsidRPr="00B03D7F">
        <w:t xml:space="preserve"> Artículo 19.- </w:t>
      </w:r>
      <w:r w:rsidRPr="00B03D7F">
        <w:rPr>
          <w:u w:val="single"/>
        </w:rPr>
        <w:t>El Comité Ejecutivo Nacional</w:t>
      </w:r>
      <w:r w:rsidRPr="00B03D7F">
        <w:t xml:space="preserve"> es el órgano de administración del Partido que tiene en la esfera de su responsabilidad la ejecución de las acciones y programas que ordene la Asamblea Nacional y el Consejo Político Nacional; </w:t>
      </w:r>
      <w:r w:rsidRPr="00B03D7F">
        <w:rPr>
          <w:u w:val="single"/>
        </w:rPr>
        <w:t>tiene a su cargo la dirección y operación del Partido en todo el país</w:t>
      </w:r>
      <w:r w:rsidRPr="00B03D7F">
        <w:t xml:space="preserve">; el Comité Ejecutivo Nacional tendrá carácter de permanente. </w:t>
      </w:r>
    </w:p>
    <w:p w14:paraId="7CC5688A" w14:textId="77777777" w:rsidR="00715BC3" w:rsidRPr="00B03D7F" w:rsidRDefault="00715BC3" w:rsidP="003419F0">
      <w:pPr>
        <w:pStyle w:val="Textonotapie"/>
      </w:pPr>
      <w:r w:rsidRPr="00B03D7F">
        <w:t>Artículo 22.- Del Secretario Técnico y el Secretario Ejecutivo del Comité Ejecutivo Nacional:</w:t>
      </w:r>
    </w:p>
    <w:p w14:paraId="3C4876A3" w14:textId="77777777" w:rsidR="00715BC3" w:rsidRPr="00B03D7F" w:rsidRDefault="00715BC3" w:rsidP="003419F0">
      <w:pPr>
        <w:pStyle w:val="Textonotapie"/>
      </w:pPr>
      <w:r w:rsidRPr="00B03D7F">
        <w:t>1.- Facultades y atribuciones del Secretario Técnico y Secretario Ejecutivo del Comité Ejecutivo Nacional: (…)</w:t>
      </w:r>
    </w:p>
    <w:p w14:paraId="42FC1279" w14:textId="77777777" w:rsidR="00715BC3" w:rsidRPr="00B03D7F" w:rsidRDefault="00715BC3" w:rsidP="003419F0">
      <w:pPr>
        <w:pStyle w:val="Textonotapie"/>
      </w:pPr>
      <w:r w:rsidRPr="00B03D7F">
        <w:t>g</w:t>
      </w:r>
      <w:r w:rsidRPr="00B03D7F">
        <w:t>).- Tendrán mancomunadamente, la representación legal del Partido frente a terceros, así como ante toda clase de autoridades políticas, administrativas y judiciales, y consecuentemente: (…)</w:t>
      </w:r>
    </w:p>
    <w:p w14:paraId="5B5D7BD4" w14:textId="77777777" w:rsidR="00715BC3" w:rsidRPr="00B03D7F" w:rsidRDefault="00715BC3" w:rsidP="003419F0">
      <w:pPr>
        <w:pStyle w:val="Textonotapie"/>
      </w:pPr>
      <w:r w:rsidRPr="00B03D7F">
        <w:t>4.- Dentro de sus facultades, podrá otorgar poderes generales o especiales, así como revocarlos.</w:t>
      </w:r>
    </w:p>
  </w:footnote>
  <w:footnote w:id="16">
    <w:p w14:paraId="2144F01D" w14:textId="77777777" w:rsidR="00E57B38" w:rsidRDefault="00E57B38" w:rsidP="00E57B38">
      <w:pPr>
        <w:pStyle w:val="Textonotapie"/>
      </w:pPr>
      <w:r>
        <w:rPr>
          <w:rStyle w:val="Refdenotaalpie"/>
        </w:rPr>
        <w:footnoteRef/>
      </w:r>
      <w:r>
        <w:t xml:space="preserve"> </w:t>
      </w:r>
      <w:r w:rsidRPr="00E6332A">
        <w:rPr>
          <w:b/>
          <w:bCs/>
        </w:rPr>
        <w:t>Artículo 62.</w:t>
      </w:r>
      <w:r>
        <w:t xml:space="preserve"> (…)</w:t>
      </w:r>
    </w:p>
    <w:p w14:paraId="6CBC3DCF" w14:textId="77777777" w:rsidR="00E57B38" w:rsidRDefault="00E57B38" w:rsidP="00E57B38">
      <w:pPr>
        <w:pStyle w:val="Textonotapie"/>
      </w:pPr>
      <w:r>
        <w:t>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17">
    <w:p w14:paraId="59C4CFC1" w14:textId="293C55EA" w:rsidR="00E57B38" w:rsidRDefault="00E57B38" w:rsidP="00E57B38">
      <w:pPr>
        <w:pStyle w:val="Textonotapie"/>
      </w:pPr>
      <w:r>
        <w:rPr>
          <w:rStyle w:val="Refdenotaalpie"/>
        </w:rPr>
        <w:footnoteRef/>
      </w:r>
      <w:r>
        <w:t xml:space="preserve"> </w:t>
      </w:r>
      <w:r w:rsidRPr="00325241">
        <w:rPr>
          <w:b/>
          <w:bCs/>
        </w:rPr>
        <w:t>Tesis P./J. 52/2003:</w:t>
      </w:r>
      <w:r>
        <w:t xml:space="preserve"> Dicho precepto establece que podrán comparecer a juicio los funcionarios que, en los términos de las normas que los rigen, estén facultados para representar a los órganos correspondientes y que, en todo caso, la representación se presumirá, salvo prueba en contrario. Ahora bien, del contenido de esa facultad otorgada a la Suprema Corte de Justicia de la Nación para presumir la representación de quien promueve se desprende que la interpretación jurídica que debe realizarse respecto de las normas que regulan dicho presupuesto procesal, admite interpretación flexible, de manera que se procure no convertir las normas legales en obstáculos para el acceso a la justicia, si se advierte que se presenta una hipótesis no prevista específicamente en la ley local y, sobre todo, si en autos existen elementos de los que se infiere que quien promueve no actúa en interés propio, sino en el del órgano en nombre de quien lo hace.</w:t>
      </w:r>
      <w:r w:rsidR="00ED3913">
        <w:t xml:space="preserve"> </w:t>
      </w:r>
      <w:r>
        <w:t xml:space="preserve">Semanario Judicial de la Federación y su Gaceta, Novena Época, Tomo XVIII, septiembre de dos mil tres, página 1057, registro </w:t>
      </w:r>
      <w:r w:rsidR="00ED3913">
        <w:t xml:space="preserve">digital </w:t>
      </w:r>
      <w:r>
        <w:t>183319.</w:t>
      </w:r>
    </w:p>
  </w:footnote>
  <w:footnote w:id="18">
    <w:p w14:paraId="20EEC87A" w14:textId="610A4873" w:rsidR="00A00E19" w:rsidRPr="00B03D7F" w:rsidRDefault="00A00E19" w:rsidP="003419F0">
      <w:pPr>
        <w:pStyle w:val="Textonotapie"/>
      </w:pPr>
      <w:r w:rsidRPr="00B03D7F">
        <w:rPr>
          <w:rStyle w:val="Refdenotaalpie"/>
        </w:rPr>
        <w:footnoteRef/>
      </w:r>
      <w:r w:rsidRPr="00B03D7F">
        <w:t xml:space="preserve"> </w:t>
      </w:r>
      <w:r w:rsidR="00BD684E" w:rsidRPr="00B03D7F">
        <w:t xml:space="preserve">Artículo 39. Son funciones de la Dirección Nacional Ejecutiva las siguientes: </w:t>
      </w:r>
    </w:p>
    <w:p w14:paraId="1BBAF40D" w14:textId="42142F43" w:rsidR="00BD684E" w:rsidRPr="00B03D7F" w:rsidRDefault="00BD684E" w:rsidP="003419F0">
      <w:pPr>
        <w:pStyle w:val="Textonotapie"/>
      </w:pPr>
      <w:r w:rsidRPr="00B03D7F">
        <w:t>[…]</w:t>
      </w:r>
    </w:p>
    <w:p w14:paraId="1B65E978" w14:textId="0236C5D2" w:rsidR="00BD684E" w:rsidRPr="00B03D7F" w:rsidRDefault="00BD684E" w:rsidP="003419F0">
      <w:pPr>
        <w:pStyle w:val="Textonotapie"/>
      </w:pPr>
      <w:r w:rsidRPr="00B03D7F">
        <w:t>Apartado B</w:t>
      </w:r>
    </w:p>
    <w:p w14:paraId="0A4FB400" w14:textId="4051FF93" w:rsidR="00BD684E" w:rsidRPr="00B03D7F" w:rsidRDefault="00BD684E" w:rsidP="003419F0">
      <w:pPr>
        <w:pStyle w:val="Textonotapie"/>
      </w:pPr>
      <w:r w:rsidRPr="00B03D7F">
        <w:t>De la Presidencia Nacional</w:t>
      </w:r>
    </w:p>
    <w:p w14:paraId="24C68AC3" w14:textId="72B04577" w:rsidR="00BD684E" w:rsidRPr="00B03D7F" w:rsidRDefault="00BD684E" w:rsidP="003419F0">
      <w:pPr>
        <w:pStyle w:val="Textonotapie"/>
      </w:pPr>
      <w:r w:rsidRPr="00B03D7F">
        <w:t>[…]</w:t>
      </w:r>
    </w:p>
    <w:p w14:paraId="6F65CD41" w14:textId="4E9780E6" w:rsidR="00BD684E" w:rsidRPr="00B03D7F" w:rsidRDefault="00BD684E" w:rsidP="003419F0">
      <w:pPr>
        <w:pStyle w:val="Textonotapie"/>
      </w:pPr>
      <w:r w:rsidRPr="00B03D7F">
        <w:t xml:space="preserve">IV. Representar legalmente al Partido y designar apoderados, teniendo la obligación de presentar al pleno un informe trimestral de las actividades al respecto; </w:t>
      </w:r>
    </w:p>
    <w:p w14:paraId="2538D298" w14:textId="5EFD706D" w:rsidR="00BD684E" w:rsidRPr="00B03D7F" w:rsidRDefault="00BD684E" w:rsidP="003419F0">
      <w:pPr>
        <w:pStyle w:val="Textonotapie"/>
      </w:pPr>
      <w:r w:rsidRPr="00B03D7F">
        <w:t>V. Ser el representante del Partido ante organismos o cualquier organización nacional e internacional</w:t>
      </w:r>
      <w:r w:rsidR="008C2B0B" w:rsidRPr="00B03D7F">
        <w:t xml:space="preserve"> […].</w:t>
      </w:r>
    </w:p>
  </w:footnote>
  <w:footnote w:id="19">
    <w:p w14:paraId="7746815B" w14:textId="6FB9D8B1" w:rsidR="00D14257" w:rsidRPr="00B03D7F" w:rsidRDefault="00D14257" w:rsidP="003419F0">
      <w:pPr>
        <w:pStyle w:val="Textonotapie"/>
      </w:pPr>
      <w:r w:rsidRPr="00B03D7F">
        <w:rPr>
          <w:rStyle w:val="Refdenotaalpie"/>
        </w:rPr>
        <w:footnoteRef/>
      </w:r>
      <w:r w:rsidRPr="00B03D7F">
        <w:t xml:space="preserve"> Artículo 57</w:t>
      </w:r>
      <w:r w:rsidR="008C2B0B" w:rsidRPr="00B03D7F">
        <w:t>.</w:t>
      </w:r>
    </w:p>
    <w:p w14:paraId="278F8FBF" w14:textId="78337EA4" w:rsidR="00D14257" w:rsidRPr="00B03D7F" w:rsidRDefault="00D14257" w:rsidP="003419F0">
      <w:pPr>
        <w:pStyle w:val="Textonotapie"/>
      </w:pPr>
      <w:r w:rsidRPr="00B03D7F">
        <w:t>La o el Presidente del Comité Ejecutivo Nacional, lo será también de la Asamblea Nacional, del Consejo Nacional y la Comisión Permanente Nacional, con las siguientes atribuciones y deberes:</w:t>
      </w:r>
    </w:p>
    <w:p w14:paraId="5220F49F" w14:textId="3E58CCE9" w:rsidR="00D14257" w:rsidRPr="00B03D7F" w:rsidRDefault="00D14257" w:rsidP="003419F0">
      <w:pPr>
        <w:pStyle w:val="Textonotapie"/>
      </w:pPr>
      <w:r w:rsidRPr="00B03D7F">
        <w:t>a) Representar a Acción Nacional en los términos y con las facultades a que se refiere el inciso a) del artículo 53 de estos Estatutos</w:t>
      </w:r>
      <w:r w:rsidR="008C2B0B" w:rsidRPr="00B03D7F">
        <w:t xml:space="preserve"> […]</w:t>
      </w:r>
    </w:p>
  </w:footnote>
  <w:footnote w:id="20">
    <w:p w14:paraId="6F9AF2C7" w14:textId="714BF8EE" w:rsidR="00C46A77" w:rsidRPr="00B03D7F" w:rsidRDefault="00C46A77" w:rsidP="003419F0">
      <w:pPr>
        <w:pStyle w:val="Textonotapie"/>
      </w:pPr>
      <w:r w:rsidRPr="00B03D7F">
        <w:rPr>
          <w:rStyle w:val="Refdenotaalpie"/>
        </w:rPr>
        <w:footnoteRef/>
      </w:r>
      <w:r w:rsidR="00304298" w:rsidRPr="00B03D7F">
        <w:t xml:space="preserve">Artículo 89. La persona titular de la Presidencia del Comité Ejecutivo Nacional tendrá las facultades siguientes: </w:t>
      </w:r>
    </w:p>
    <w:p w14:paraId="7DE0CB09" w14:textId="0D9D6A2E" w:rsidR="00304298" w:rsidRPr="00B03D7F" w:rsidRDefault="00304298" w:rsidP="003419F0">
      <w:pPr>
        <w:pStyle w:val="Textonotapie"/>
      </w:pPr>
      <w:r w:rsidRPr="00B03D7F">
        <w:t>[…]</w:t>
      </w:r>
    </w:p>
    <w:p w14:paraId="6AFF2DE4" w14:textId="0A8A0EBB" w:rsidR="00304298" w:rsidRPr="00B03D7F" w:rsidRDefault="003F21D9" w:rsidP="003419F0">
      <w:pPr>
        <w:pStyle w:val="Textonotapie"/>
      </w:pPr>
      <w:r w:rsidRPr="00B03D7F">
        <w:t>XIII. Representar al Partido ante personas físicas y morales, ante toda clase de tribunales, autoridades e instituciones, con todas las facultades de Apoderado General para pleitos y cobranzas</w:t>
      </w:r>
      <w:r w:rsidR="005B6532" w:rsidRPr="00B03D7F">
        <w:t xml:space="preserve"> […].</w:t>
      </w:r>
    </w:p>
  </w:footnote>
  <w:footnote w:id="21">
    <w:p w14:paraId="5AF67596" w14:textId="1D36F66D" w:rsidR="00D87543" w:rsidRPr="00B03D7F" w:rsidRDefault="00D87543" w:rsidP="003419F0">
      <w:pPr>
        <w:pStyle w:val="Textonotapie"/>
      </w:pPr>
      <w:r w:rsidRPr="00B03D7F">
        <w:rPr>
          <w:rStyle w:val="Refdenotaalpie"/>
        </w:rPr>
        <w:footnoteRef/>
      </w:r>
      <w:r w:rsidRPr="00B03D7F">
        <w:t xml:space="preserve"> </w:t>
      </w:r>
      <w:r w:rsidR="00F062BB">
        <w:t xml:space="preserve">Sentencia recaída a la </w:t>
      </w:r>
      <w:r w:rsidR="001A74E6">
        <w:t xml:space="preserve">controversia constitucional </w:t>
      </w:r>
      <w:r w:rsidR="00F062BB">
        <w:t xml:space="preserve">32/2012, Pleno de la Suprema Corte de Justicia de la Nación, </w:t>
      </w:r>
      <w:r w:rsidR="00CB36D5" w:rsidRPr="00B03D7F">
        <w:t>Ponente</w:t>
      </w:r>
      <w:r w:rsidR="00F062BB">
        <w:t>:</w:t>
      </w:r>
      <w:r w:rsidR="00CB36D5" w:rsidRPr="00B03D7F">
        <w:t xml:space="preserve"> </w:t>
      </w:r>
      <w:r w:rsidR="00F062BB">
        <w:t xml:space="preserve">Ministra </w:t>
      </w:r>
      <w:r w:rsidR="00CB36D5" w:rsidRPr="00B03D7F">
        <w:t>Margarita Beatriz Luna Ramos</w:t>
      </w:r>
      <w:r w:rsidR="00F062BB">
        <w:t>, 29</w:t>
      </w:r>
      <w:r w:rsidRPr="00B03D7F">
        <w:t xml:space="preserve"> de mayo de </w:t>
      </w:r>
      <w:r w:rsidR="00F062BB">
        <w:t>2014.</w:t>
      </w:r>
    </w:p>
  </w:footnote>
  <w:footnote w:id="22">
    <w:p w14:paraId="1770B531" w14:textId="7710D910" w:rsidR="00D87543" w:rsidRPr="00B03D7F" w:rsidRDefault="00D87543" w:rsidP="003419F0">
      <w:pPr>
        <w:spacing w:before="0" w:after="0" w:line="240" w:lineRule="auto"/>
        <w:ind w:right="-91"/>
        <w:contextualSpacing/>
        <w:rPr>
          <w:sz w:val="20"/>
          <w:szCs w:val="20"/>
        </w:rPr>
      </w:pPr>
      <w:r w:rsidRPr="00B03D7F">
        <w:rPr>
          <w:rStyle w:val="Refdenotaalpie"/>
          <w:sz w:val="20"/>
          <w:szCs w:val="20"/>
        </w:rPr>
        <w:footnoteRef/>
      </w:r>
      <w:r w:rsidRPr="00B03D7F">
        <w:rPr>
          <w:sz w:val="20"/>
          <w:szCs w:val="20"/>
        </w:rPr>
        <w:t xml:space="preserve"> </w:t>
      </w:r>
      <w:r w:rsidR="00F062BB">
        <w:rPr>
          <w:sz w:val="20"/>
          <w:szCs w:val="20"/>
        </w:rPr>
        <w:t xml:space="preserve">Sentencia recaída a la </w:t>
      </w:r>
      <w:r w:rsidR="00791EBD">
        <w:rPr>
          <w:sz w:val="20"/>
          <w:szCs w:val="20"/>
        </w:rPr>
        <w:t>a</w:t>
      </w:r>
      <w:r w:rsidR="00F062BB">
        <w:rPr>
          <w:sz w:val="20"/>
          <w:szCs w:val="20"/>
        </w:rPr>
        <w:t xml:space="preserve">cción de </w:t>
      </w:r>
      <w:r w:rsidR="00791EBD">
        <w:rPr>
          <w:sz w:val="20"/>
          <w:szCs w:val="20"/>
        </w:rPr>
        <w:t>i</w:t>
      </w:r>
      <w:r w:rsidR="00F062BB">
        <w:rPr>
          <w:sz w:val="20"/>
          <w:szCs w:val="20"/>
        </w:rPr>
        <w:t>nconstitucionalidad 83/2015 y sus acumuladas</w:t>
      </w:r>
      <w:r w:rsidR="00791EBD">
        <w:rPr>
          <w:sz w:val="20"/>
          <w:szCs w:val="20"/>
        </w:rPr>
        <w:t xml:space="preserve"> 86/2015, 91/2015 y 98/2015</w:t>
      </w:r>
      <w:r w:rsidR="00F062BB">
        <w:rPr>
          <w:sz w:val="20"/>
          <w:szCs w:val="20"/>
        </w:rPr>
        <w:t xml:space="preserve">, Pleno de la Suprema Corte de Justicia de la Nación, </w:t>
      </w:r>
      <w:r w:rsidR="00D55360" w:rsidRPr="00B03D7F">
        <w:rPr>
          <w:sz w:val="20"/>
          <w:szCs w:val="20"/>
        </w:rPr>
        <w:t>Ponente</w:t>
      </w:r>
      <w:r w:rsidR="00F062BB">
        <w:rPr>
          <w:sz w:val="20"/>
          <w:szCs w:val="20"/>
        </w:rPr>
        <w:t>:</w:t>
      </w:r>
      <w:r w:rsidR="00D55360" w:rsidRPr="00B03D7F">
        <w:rPr>
          <w:sz w:val="20"/>
          <w:szCs w:val="20"/>
        </w:rPr>
        <w:t xml:space="preserve"> </w:t>
      </w:r>
      <w:r w:rsidR="00D336E8" w:rsidRPr="00B03D7F">
        <w:rPr>
          <w:sz w:val="20"/>
          <w:szCs w:val="20"/>
        </w:rPr>
        <w:t>Ministro Jorge Mario Pardo Rebolledo</w:t>
      </w:r>
      <w:r w:rsidR="00F062BB">
        <w:rPr>
          <w:sz w:val="20"/>
          <w:szCs w:val="20"/>
        </w:rPr>
        <w:t xml:space="preserve">, 19 </w:t>
      </w:r>
      <w:r w:rsidRPr="00B03D7F">
        <w:rPr>
          <w:sz w:val="20"/>
          <w:szCs w:val="20"/>
        </w:rPr>
        <w:t>de octubre de</w:t>
      </w:r>
      <w:r w:rsidR="00D929B7">
        <w:rPr>
          <w:sz w:val="20"/>
          <w:szCs w:val="20"/>
        </w:rPr>
        <w:t xml:space="preserve"> </w:t>
      </w:r>
      <w:r w:rsidR="00F062BB">
        <w:rPr>
          <w:sz w:val="20"/>
          <w:szCs w:val="20"/>
        </w:rPr>
        <w:t>2015.</w:t>
      </w:r>
    </w:p>
  </w:footnote>
  <w:footnote w:id="23">
    <w:p w14:paraId="59E3D3EB" w14:textId="40F060F3" w:rsidR="00D87543" w:rsidRPr="00B03D7F" w:rsidRDefault="00D87543" w:rsidP="003419F0">
      <w:pPr>
        <w:pStyle w:val="Textonotapie"/>
        <w:contextualSpacing/>
      </w:pPr>
      <w:r w:rsidRPr="00B03D7F">
        <w:rPr>
          <w:rStyle w:val="Refdenotaalpie"/>
        </w:rPr>
        <w:footnoteRef/>
      </w:r>
      <w:r w:rsidRPr="00B03D7F">
        <w:t xml:space="preserve"> </w:t>
      </w:r>
      <w:r w:rsidR="005A3D90">
        <w:t xml:space="preserve">Sentencia recaída a la </w:t>
      </w:r>
      <w:r w:rsidR="00791EBD">
        <w:t>a</w:t>
      </w:r>
      <w:r w:rsidR="005A3D90">
        <w:t xml:space="preserve">cción de </w:t>
      </w:r>
      <w:r w:rsidR="00791EBD">
        <w:t>i</w:t>
      </w:r>
      <w:r w:rsidR="005A3D90">
        <w:t xml:space="preserve">nconstitucionalidad 31/2014, Pleno de la Suprema Corte de Justicia de la Nación, </w:t>
      </w:r>
      <w:r w:rsidR="00EC5335" w:rsidRPr="00B03D7F">
        <w:t>Ponente</w:t>
      </w:r>
      <w:r w:rsidR="005A3D90">
        <w:t>:</w:t>
      </w:r>
      <w:r w:rsidR="00EC5335" w:rsidRPr="00B03D7F">
        <w:t xml:space="preserve"> </w:t>
      </w:r>
      <w:r w:rsidR="00EC5335" w:rsidRPr="00B03D7F">
        <w:t>Ministro José Fernando Franco González Salas</w:t>
      </w:r>
      <w:r w:rsidR="005A3D90">
        <w:t xml:space="preserve">, 8 de </w:t>
      </w:r>
      <w:r w:rsidRPr="00B03D7F">
        <w:t xml:space="preserve">marzo de </w:t>
      </w:r>
      <w:r w:rsidR="005A3D90">
        <w:t>2016.</w:t>
      </w:r>
    </w:p>
  </w:footnote>
  <w:footnote w:id="24">
    <w:p w14:paraId="1445C447" w14:textId="661AE100" w:rsidR="00D87543" w:rsidRPr="00B03D7F" w:rsidRDefault="00D87543" w:rsidP="003419F0">
      <w:pPr>
        <w:pStyle w:val="Textonotapie"/>
        <w:contextualSpacing/>
      </w:pPr>
      <w:r w:rsidRPr="00B03D7F">
        <w:rPr>
          <w:rStyle w:val="Refdenotaalpie"/>
        </w:rPr>
        <w:footnoteRef/>
      </w:r>
      <w:r w:rsidRPr="00B03D7F">
        <w:t xml:space="preserve"> </w:t>
      </w:r>
      <w:r w:rsidR="005A3D90">
        <w:t xml:space="preserve">Sentencia recaída a la acción de </w:t>
      </w:r>
      <w:r w:rsidR="00B23B8E">
        <w:t>I</w:t>
      </w:r>
      <w:r w:rsidR="005A3D90">
        <w:t xml:space="preserve">nconstitucionalidad 84/2016, Pleno de la Suprema Corte de Justicia de la Nación, </w:t>
      </w:r>
      <w:r w:rsidR="00D929B7">
        <w:t>Ponente</w:t>
      </w:r>
      <w:r w:rsidR="005A3D90">
        <w:t>:</w:t>
      </w:r>
      <w:r w:rsidR="00D929B7">
        <w:t xml:space="preserve"> Ministro Eduardo Medina Mora I.</w:t>
      </w:r>
      <w:r w:rsidR="005A3D90">
        <w:t>,</w:t>
      </w:r>
      <w:r w:rsidR="00D929B7">
        <w:t xml:space="preserve"> </w:t>
      </w:r>
      <w:r w:rsidR="005A3D90">
        <w:t>28</w:t>
      </w:r>
      <w:r w:rsidRPr="00B03D7F">
        <w:t xml:space="preserve"> de junio de </w:t>
      </w:r>
      <w:r w:rsidR="005A3D90">
        <w:t>2018</w:t>
      </w:r>
      <w:r w:rsidRPr="00B03D7F">
        <w:t xml:space="preserve">. </w:t>
      </w:r>
    </w:p>
  </w:footnote>
  <w:footnote w:id="25">
    <w:p w14:paraId="1224A5AC" w14:textId="10650A7D" w:rsidR="00D87543" w:rsidRPr="00B03D7F" w:rsidRDefault="00D87543" w:rsidP="003419F0">
      <w:pPr>
        <w:pStyle w:val="Textonotapie"/>
      </w:pPr>
      <w:r w:rsidRPr="00B03D7F">
        <w:rPr>
          <w:rStyle w:val="Refdenotaalpie"/>
        </w:rPr>
        <w:footnoteRef/>
      </w:r>
      <w:r w:rsidRPr="00B03D7F">
        <w:t xml:space="preserve"> </w:t>
      </w:r>
      <w:r w:rsidR="009909B5">
        <w:t xml:space="preserve">Sentencia recaída a la </w:t>
      </w:r>
      <w:r w:rsidR="00A92A5E">
        <w:t>a</w:t>
      </w:r>
      <w:r w:rsidR="009909B5">
        <w:t xml:space="preserve">cción de </w:t>
      </w:r>
      <w:r w:rsidR="00A92A5E">
        <w:t>i</w:t>
      </w:r>
      <w:r w:rsidR="009909B5">
        <w:t>nconstitucionalidad 80/2017 y su acumulada</w:t>
      </w:r>
      <w:r w:rsidR="00A92A5E">
        <w:t xml:space="preserve"> 81/2017</w:t>
      </w:r>
      <w:r w:rsidR="009909B5">
        <w:t xml:space="preserve">, Pleno de la Suprema Corte de Justicia de la Nación, Ponente: </w:t>
      </w:r>
      <w:r w:rsidR="009909B5">
        <w:t>Ministro Javier Laynez Potisek, 20 de abril de 2020.</w:t>
      </w:r>
    </w:p>
  </w:footnote>
  <w:footnote w:id="26">
    <w:p w14:paraId="1744DF32" w14:textId="105FC839" w:rsidR="00D87543" w:rsidRPr="00B03D7F" w:rsidRDefault="00D87543" w:rsidP="003419F0">
      <w:pPr>
        <w:pStyle w:val="Textonotapie"/>
      </w:pPr>
      <w:r w:rsidRPr="00B03D7F">
        <w:rPr>
          <w:rStyle w:val="Refdenotaalpie"/>
        </w:rPr>
        <w:footnoteRef/>
      </w:r>
      <w:r w:rsidRPr="00B03D7F">
        <w:t xml:space="preserve"> </w:t>
      </w:r>
      <w:r w:rsidR="009909B5">
        <w:t xml:space="preserve">Sentencia recaída a la </w:t>
      </w:r>
      <w:r w:rsidR="00A92A5E">
        <w:t>a</w:t>
      </w:r>
      <w:r w:rsidR="009909B5">
        <w:t xml:space="preserve">cción de </w:t>
      </w:r>
      <w:r w:rsidR="00A92A5E">
        <w:t>i</w:t>
      </w:r>
      <w:r w:rsidR="009909B5">
        <w:t>nconstitucionalidad 41/2018</w:t>
      </w:r>
      <w:r w:rsidR="00A92A5E">
        <w:t xml:space="preserve"> y su acumulada 42/2018</w:t>
      </w:r>
      <w:r w:rsidR="009909B5">
        <w:t xml:space="preserve">, Pleno de la Suprema Corte de Justicia de la Nación, </w:t>
      </w:r>
      <w:r w:rsidR="00910998">
        <w:t xml:space="preserve">Ponente: </w:t>
      </w:r>
      <w:r w:rsidR="00910998">
        <w:t>Ministro Luis María Aguilar Morales, 21 de abril de 2020.</w:t>
      </w:r>
    </w:p>
  </w:footnote>
  <w:footnote w:id="27">
    <w:p w14:paraId="7068BE62" w14:textId="400A011E" w:rsidR="00D87543" w:rsidRPr="00B03D7F" w:rsidRDefault="00D87543" w:rsidP="003419F0">
      <w:pPr>
        <w:pStyle w:val="Textonotapie"/>
        <w:rPr>
          <w:lang w:val="es-ES"/>
        </w:rPr>
      </w:pPr>
      <w:r w:rsidRPr="00B03D7F">
        <w:rPr>
          <w:rStyle w:val="Refdenotaalpie"/>
        </w:rPr>
        <w:footnoteRef/>
      </w:r>
      <w:r w:rsidRPr="00B03D7F">
        <w:t xml:space="preserve"> </w:t>
      </w:r>
      <w:r w:rsidR="00910998">
        <w:t xml:space="preserve">Sentencia recaída a la </w:t>
      </w:r>
      <w:r w:rsidR="00A92A5E">
        <w:t>a</w:t>
      </w:r>
      <w:r w:rsidR="00910998">
        <w:t xml:space="preserve">cción de </w:t>
      </w:r>
      <w:r w:rsidR="00A92A5E">
        <w:t>i</w:t>
      </w:r>
      <w:r w:rsidR="00910998">
        <w:t xml:space="preserve">nconstitucionalidad 123/2020, Pleno de la Suprema Corte de Justicia de la Nación, Ponente: </w:t>
      </w:r>
      <w:r w:rsidR="00910998">
        <w:t>Ministro Juan Luis González Alcántara Carrancá, 23 de febrero de 2021.</w:t>
      </w:r>
    </w:p>
  </w:footnote>
  <w:footnote w:id="28">
    <w:p w14:paraId="6883B3E9" w14:textId="4AC4750E" w:rsidR="00D87543" w:rsidRPr="00B03D7F" w:rsidRDefault="00D87543" w:rsidP="003419F0">
      <w:pPr>
        <w:pStyle w:val="Textonotapie"/>
      </w:pPr>
      <w:r w:rsidRPr="00B03D7F">
        <w:rPr>
          <w:rStyle w:val="Refdenotaalpie"/>
        </w:rPr>
        <w:footnoteRef/>
      </w:r>
      <w:r w:rsidRPr="00B03D7F">
        <w:t xml:space="preserve"> Asimismo, se invalidaron por extensión los Decretos 0609 y 0611 que reformaron la Ley de Asistencia Social para el Estado y Municipios de San Luis Potosí.</w:t>
      </w:r>
    </w:p>
  </w:footnote>
  <w:footnote w:id="29">
    <w:p w14:paraId="6ABB5EBC" w14:textId="640BD5D2" w:rsidR="00D87543" w:rsidRPr="00B03D7F" w:rsidRDefault="00D87543" w:rsidP="003419F0">
      <w:pPr>
        <w:pStyle w:val="Textonotapie"/>
      </w:pPr>
      <w:r w:rsidRPr="00B03D7F">
        <w:rPr>
          <w:rStyle w:val="Refdenotaalpie"/>
        </w:rPr>
        <w:footnoteRef/>
      </w:r>
      <w:r w:rsidRPr="00B03D7F">
        <w:t xml:space="preserve"> </w:t>
      </w:r>
      <w:r w:rsidR="00D47D20">
        <w:t xml:space="preserve">Sentencias recaídas a las </w:t>
      </w:r>
      <w:r w:rsidR="00A92A5E">
        <w:t>c</w:t>
      </w:r>
      <w:r w:rsidR="00D47D20">
        <w:t xml:space="preserve">ontroversias </w:t>
      </w:r>
      <w:r w:rsidR="00A92A5E">
        <w:t>c</w:t>
      </w:r>
      <w:r w:rsidR="00D47D20">
        <w:t xml:space="preserve">onstitucionales 38/2019, 28/2019 y 39/2019, Pleno de la Suprema Corte de Justicia de la Nación, Ponente: </w:t>
      </w:r>
      <w:r w:rsidR="00D47D20">
        <w:t>Ministro Javier Laynez Potisek, 3 de noviembre de 2020.</w:t>
      </w:r>
    </w:p>
  </w:footnote>
  <w:footnote w:id="30">
    <w:p w14:paraId="5473FFF8" w14:textId="5B8281C5" w:rsidR="00D87543" w:rsidRPr="00B03D7F" w:rsidRDefault="00D87543" w:rsidP="003419F0">
      <w:pPr>
        <w:autoSpaceDE w:val="0"/>
        <w:autoSpaceDN w:val="0"/>
        <w:adjustRightInd w:val="0"/>
        <w:spacing w:before="0" w:after="0" w:line="240" w:lineRule="auto"/>
        <w:rPr>
          <w:sz w:val="20"/>
          <w:szCs w:val="20"/>
        </w:rPr>
      </w:pPr>
      <w:r w:rsidRPr="00B03D7F">
        <w:rPr>
          <w:rStyle w:val="Refdenotaalpie"/>
          <w:sz w:val="20"/>
          <w:szCs w:val="20"/>
        </w:rPr>
        <w:footnoteRef/>
      </w:r>
      <w:r w:rsidRPr="00B03D7F">
        <w:rPr>
          <w:sz w:val="20"/>
          <w:szCs w:val="20"/>
        </w:rPr>
        <w:t xml:space="preserve"> </w:t>
      </w:r>
      <w:r w:rsidR="00EF23EA">
        <w:rPr>
          <w:sz w:val="20"/>
          <w:szCs w:val="20"/>
        </w:rPr>
        <w:t xml:space="preserve">Sentencia recaída a la </w:t>
      </w:r>
      <w:r w:rsidR="004B4293">
        <w:rPr>
          <w:sz w:val="20"/>
          <w:szCs w:val="20"/>
        </w:rPr>
        <w:t>a</w:t>
      </w:r>
      <w:r w:rsidR="00EF23EA">
        <w:rPr>
          <w:sz w:val="20"/>
          <w:szCs w:val="20"/>
        </w:rPr>
        <w:t xml:space="preserve">cción de </w:t>
      </w:r>
      <w:r w:rsidR="004B4293">
        <w:rPr>
          <w:sz w:val="20"/>
          <w:szCs w:val="20"/>
        </w:rPr>
        <w:t>i</w:t>
      </w:r>
      <w:r w:rsidR="00EF23EA">
        <w:rPr>
          <w:sz w:val="20"/>
          <w:szCs w:val="20"/>
        </w:rPr>
        <w:t xml:space="preserve">nconstitucionalidad 61/2019, Pleno de la Suprema Corte de Justicia de la Nación, Ponente: </w:t>
      </w:r>
      <w:r w:rsidR="00EF23EA">
        <w:rPr>
          <w:sz w:val="20"/>
          <w:szCs w:val="20"/>
        </w:rPr>
        <w:t xml:space="preserve">Ministro Alfredo Gutiérrez Ortiz Mena, </w:t>
      </w:r>
      <w:r w:rsidR="004B4293">
        <w:rPr>
          <w:sz w:val="20"/>
          <w:szCs w:val="20"/>
        </w:rPr>
        <w:t>12</w:t>
      </w:r>
      <w:r w:rsidR="00EF23EA">
        <w:rPr>
          <w:sz w:val="20"/>
          <w:szCs w:val="20"/>
        </w:rPr>
        <w:t xml:space="preserve"> de </w:t>
      </w:r>
      <w:r w:rsidR="00CB5DBB">
        <w:rPr>
          <w:sz w:val="20"/>
          <w:szCs w:val="20"/>
        </w:rPr>
        <w:t>enero de 2021</w:t>
      </w:r>
      <w:r w:rsidR="00EF23EA">
        <w:rPr>
          <w:sz w:val="20"/>
          <w:szCs w:val="20"/>
        </w:rPr>
        <w:t>.</w:t>
      </w:r>
    </w:p>
  </w:footnote>
  <w:footnote w:id="31">
    <w:p w14:paraId="200683C0" w14:textId="66E1156D" w:rsidR="00D87543" w:rsidRPr="00B03D7F" w:rsidRDefault="00D87543" w:rsidP="003419F0">
      <w:pPr>
        <w:pStyle w:val="Textonotapie"/>
      </w:pPr>
      <w:r w:rsidRPr="00B03D7F">
        <w:rPr>
          <w:rStyle w:val="Refdenotaalpie"/>
        </w:rPr>
        <w:footnoteRef/>
      </w:r>
      <w:r w:rsidRPr="00B03D7F">
        <w:t xml:space="preserve"> En sesión de diecisiete de enero de dos mil veintidós, por mayoría de seis votos se determinó que no era necesaria la consulta previa a comunidades y pueblos indígenas.</w:t>
      </w:r>
    </w:p>
  </w:footnote>
  <w:footnote w:id="32">
    <w:p w14:paraId="05808A1B" w14:textId="4F392CBC" w:rsidR="004F5159" w:rsidRPr="00B03D7F" w:rsidRDefault="004F5159" w:rsidP="004F5159">
      <w:pPr>
        <w:pStyle w:val="Textonotapie"/>
      </w:pPr>
      <w:r w:rsidRPr="00B03D7F">
        <w:rPr>
          <w:rStyle w:val="Refdenotaalpie"/>
        </w:rPr>
        <w:footnoteRef/>
      </w:r>
      <w:r w:rsidRPr="00B03D7F">
        <w:t xml:space="preserve"> </w:t>
      </w:r>
      <w:r w:rsidR="008252AF">
        <w:t xml:space="preserve">Corte IDH, Caso del Pueblo </w:t>
      </w:r>
      <w:r w:rsidR="0010290D">
        <w:t>Saramaka vs. Surinam</w:t>
      </w:r>
      <w:r w:rsidR="00637879">
        <w:t xml:space="preserve">. “Excepciones Preliminares, Fondo, Reparaciones y Costas. </w:t>
      </w:r>
      <w:r w:rsidRPr="00B03D7F">
        <w:t>Sentencia de 28 de noviembre de 2007</w:t>
      </w:r>
      <w:r w:rsidR="00637879">
        <w:t xml:space="preserve">”, Serie C, No. 172, </w:t>
      </w:r>
      <w:r w:rsidRPr="00B03D7F">
        <w:t>párrafos 129 a 137</w:t>
      </w:r>
      <w:r w:rsidR="00637879">
        <w:t xml:space="preserve">. Disponible en </w:t>
      </w:r>
      <w:r w:rsidR="00637879" w:rsidRPr="00637879">
        <w:t>https://www.corteidh.or.cr/docs/casos/articulos/seriec_172_esp.pdf</w:t>
      </w:r>
    </w:p>
  </w:footnote>
  <w:footnote w:id="33">
    <w:p w14:paraId="2F3ED838" w14:textId="0B259C5C" w:rsidR="004F5159" w:rsidRPr="00B03D7F" w:rsidRDefault="004F5159" w:rsidP="004F5159">
      <w:pPr>
        <w:pStyle w:val="Estilo"/>
        <w:contextualSpacing/>
        <w:rPr>
          <w:rFonts w:ascii="Arial" w:hAnsi="Arial" w:cs="Arial"/>
          <w:sz w:val="20"/>
          <w:szCs w:val="20"/>
        </w:rPr>
      </w:pPr>
      <w:r w:rsidRPr="00B03D7F">
        <w:rPr>
          <w:rStyle w:val="Refdenotaalpie"/>
          <w:rFonts w:ascii="Arial" w:hAnsi="Arial" w:cs="Arial"/>
          <w:sz w:val="20"/>
          <w:szCs w:val="20"/>
        </w:rPr>
        <w:footnoteRef/>
      </w:r>
      <w:r w:rsidRPr="00B03D7F">
        <w:rPr>
          <w:rFonts w:ascii="Arial" w:hAnsi="Arial" w:cs="Arial"/>
          <w:sz w:val="20"/>
          <w:szCs w:val="20"/>
        </w:rPr>
        <w:t xml:space="preserve"> </w:t>
      </w:r>
      <w:r w:rsidRPr="00B23B8E">
        <w:rPr>
          <w:rFonts w:ascii="Arial" w:hAnsi="Arial" w:cs="Arial"/>
          <w:sz w:val="20"/>
          <w:szCs w:val="20"/>
        </w:rPr>
        <w:t>Informe A/HRC/12/34 del Relator Especial sobre la situación de los derechos humanos y las libertades fundamentales de los</w:t>
      </w:r>
      <w:r w:rsidRPr="00B03D7F">
        <w:rPr>
          <w:rFonts w:ascii="Arial" w:hAnsi="Arial" w:cs="Arial"/>
          <w:sz w:val="20"/>
          <w:szCs w:val="20"/>
        </w:rPr>
        <w:t xml:space="preserve"> indígenas James Anaya, párr. 41</w:t>
      </w:r>
      <w:r w:rsidR="00FC751C">
        <w:rPr>
          <w:rFonts w:ascii="Arial" w:hAnsi="Arial" w:cs="Arial"/>
          <w:sz w:val="20"/>
          <w:szCs w:val="20"/>
        </w:rPr>
        <w:t xml:space="preserve">, 15 de julio de 2009. Disponible en </w:t>
      </w:r>
      <w:r w:rsidR="00FC751C" w:rsidRPr="00FC751C">
        <w:rPr>
          <w:rFonts w:ascii="Arial" w:hAnsi="Arial" w:cs="Arial"/>
          <w:sz w:val="20"/>
          <w:szCs w:val="20"/>
        </w:rPr>
        <w:t>https://www2.ohchr.org/english/bodies/hrcouncil/docs/12session/A.HRC.12.34_sp.pdf</w:t>
      </w:r>
    </w:p>
  </w:footnote>
  <w:footnote w:id="34">
    <w:p w14:paraId="64623802" w14:textId="2E420B05" w:rsidR="00D87543" w:rsidRPr="00B03D7F" w:rsidRDefault="00D87543" w:rsidP="003419F0">
      <w:pPr>
        <w:pStyle w:val="Textonotapie"/>
      </w:pPr>
      <w:r w:rsidRPr="00B03D7F">
        <w:rPr>
          <w:rStyle w:val="Refdenotaalpie"/>
        </w:rPr>
        <w:footnoteRef/>
      </w:r>
      <w:r w:rsidRPr="00B03D7F">
        <w:t xml:space="preserve"> </w:t>
      </w:r>
      <w:r w:rsidR="004A0A8A">
        <w:t xml:space="preserve">Sentencia recaída a la </w:t>
      </w:r>
      <w:r w:rsidR="00CB5DBB">
        <w:t>a</w:t>
      </w:r>
      <w:r w:rsidR="004A0A8A">
        <w:t xml:space="preserve">cción de </w:t>
      </w:r>
      <w:r w:rsidR="00CB5DBB">
        <w:t>i</w:t>
      </w:r>
      <w:r w:rsidR="004A0A8A">
        <w:t xml:space="preserve">nconstitucionalidad 212/2020, Pleno de la Suprema Corte de Justicia de la Nación, Ponente: </w:t>
      </w:r>
      <w:r w:rsidR="004A0A8A">
        <w:t>Ministro José Fernando Franco González Salas, 1</w:t>
      </w:r>
      <w:r w:rsidR="0021723C">
        <w:t>°</w:t>
      </w:r>
      <w:r w:rsidR="004A0A8A">
        <w:t xml:space="preserve"> de marzo de 2021.</w:t>
      </w:r>
    </w:p>
  </w:footnote>
  <w:footnote w:id="35">
    <w:p w14:paraId="270B975E" w14:textId="7DE9F8D3" w:rsidR="00D87543" w:rsidRPr="00B03D7F" w:rsidRDefault="00D87543" w:rsidP="003419F0">
      <w:pPr>
        <w:pStyle w:val="Textonotapie"/>
      </w:pPr>
      <w:r w:rsidRPr="00B03D7F">
        <w:rPr>
          <w:rStyle w:val="Refdenotaalpie"/>
        </w:rPr>
        <w:footnoteRef/>
      </w:r>
      <w:r w:rsidRPr="00B03D7F">
        <w:t xml:space="preserve"> Criterio sostenido en las acciones de inconstitucionalidad 151/2017, 116/2019 y su acumulada</w:t>
      </w:r>
      <w:r w:rsidR="0021723C">
        <w:t xml:space="preserve"> 117/2019</w:t>
      </w:r>
      <w:r w:rsidRPr="00B03D7F">
        <w:t>, y 81/2018.</w:t>
      </w:r>
    </w:p>
  </w:footnote>
  <w:footnote w:id="36">
    <w:p w14:paraId="4AB5388E" w14:textId="7590CB97" w:rsidR="00D94187" w:rsidRPr="00B03D7F" w:rsidRDefault="00D94187" w:rsidP="00D94187">
      <w:pPr>
        <w:pStyle w:val="Textonotapie"/>
      </w:pPr>
      <w:r w:rsidRPr="00B03D7F">
        <w:rPr>
          <w:rStyle w:val="Refdenotaalpie"/>
        </w:rPr>
        <w:footnoteRef/>
      </w:r>
      <w:r w:rsidRPr="00B03D7F">
        <w:t xml:space="preserve"> Sentencia recaída a la acción de inconstitucionalidad 241/2020 y sus acumuladas 242/2020, 243/2020, 248/2020 y 251/2020, Pleno de la Suprema Corte de Justicia de la Nación, Ponente: Ministra Yasmín Esquivel Mossa, 3 de diciembre de 2020.</w:t>
      </w:r>
    </w:p>
  </w:footnote>
  <w:footnote w:id="37">
    <w:p w14:paraId="49DF6990" w14:textId="14EA7209" w:rsidR="00746C09" w:rsidRPr="00B03D7F" w:rsidRDefault="00746C09" w:rsidP="003419F0">
      <w:pPr>
        <w:pStyle w:val="Textonotapie"/>
      </w:pPr>
      <w:r w:rsidRPr="00B03D7F">
        <w:rPr>
          <w:rStyle w:val="Refdenotaalpie"/>
        </w:rPr>
        <w:footnoteRef/>
      </w:r>
      <w:r w:rsidRPr="00B03D7F">
        <w:t xml:space="preserve"> Véase por ejemplo la </w:t>
      </w:r>
      <w:r w:rsidR="00646564">
        <w:t>a</w:t>
      </w:r>
      <w:r w:rsidR="001C1AF1" w:rsidRPr="00B03D7F">
        <w:t xml:space="preserve">cción </w:t>
      </w:r>
      <w:r w:rsidRPr="00B03D7F">
        <w:t xml:space="preserve">de </w:t>
      </w:r>
      <w:r w:rsidR="00646564">
        <w:t>i</w:t>
      </w:r>
      <w:r w:rsidR="001C1AF1" w:rsidRPr="00B03D7F">
        <w:t xml:space="preserve">nconstitucionalidad </w:t>
      </w:r>
      <w:r w:rsidRPr="00B03D7F">
        <w:t xml:space="preserve">171/2020, fallada por el Tribunal Pleno en sesión de </w:t>
      </w:r>
      <w:r w:rsidR="00646564">
        <w:t>7</w:t>
      </w:r>
      <w:r w:rsidRPr="00B03D7F">
        <w:t xml:space="preserve"> de septiembre del </w:t>
      </w:r>
      <w:r w:rsidR="00646564">
        <w:t>2020</w:t>
      </w:r>
      <w:r w:rsidR="001C1AF1" w:rsidRPr="00B03D7F">
        <w:t>.</w:t>
      </w:r>
      <w:r w:rsidRPr="00B03D7F">
        <w:t xml:space="preserve"> </w:t>
      </w:r>
      <w:r w:rsidR="001C1AF1" w:rsidRPr="00B03D7F">
        <w:t xml:space="preserve">Ponente </w:t>
      </w:r>
      <w:r w:rsidR="001C1AF1" w:rsidRPr="00B03D7F">
        <w:t>Ministro Gutiérrez Ortiz Mena</w:t>
      </w:r>
      <w:r w:rsidRPr="00B03D7F">
        <w:t xml:space="preserve">; y la </w:t>
      </w:r>
      <w:r w:rsidR="00646564">
        <w:t>a</w:t>
      </w:r>
      <w:r w:rsidR="001C1AF1" w:rsidRPr="00B03D7F">
        <w:t xml:space="preserve">cción </w:t>
      </w:r>
      <w:r w:rsidRPr="00B03D7F">
        <w:t xml:space="preserve">de </w:t>
      </w:r>
      <w:r w:rsidR="00646564">
        <w:t>i</w:t>
      </w:r>
      <w:r w:rsidR="001C1AF1" w:rsidRPr="00B03D7F">
        <w:t xml:space="preserve">nconstitucionalidad </w:t>
      </w:r>
      <w:r w:rsidRPr="00B03D7F">
        <w:t xml:space="preserve">139/2020 y sus acumuladas 142/2020, 223/2020 y 226/2020, fallada por el Tribunal Pleno en sesión de </w:t>
      </w:r>
      <w:r w:rsidR="00646564">
        <w:t xml:space="preserve">5 </w:t>
      </w:r>
      <w:r w:rsidRPr="00B03D7F">
        <w:t xml:space="preserve">de octubre del </w:t>
      </w:r>
      <w:r w:rsidR="00646564">
        <w:t>2020</w:t>
      </w:r>
      <w:r w:rsidR="002C3DBB" w:rsidRPr="00B03D7F">
        <w:t xml:space="preserve">. Ponente Ministro Alberto </w:t>
      </w:r>
      <w:r w:rsidRPr="00B03D7F">
        <w:t>Pérez Dayán</w:t>
      </w:r>
      <w:r w:rsidR="002C3DBB" w:rsidRPr="00B03D7F">
        <w:t>.</w:t>
      </w:r>
    </w:p>
  </w:footnote>
  <w:footnote w:id="38">
    <w:p w14:paraId="173E2DE8" w14:textId="1BCCE516" w:rsidR="00AE06EE" w:rsidRPr="00B03D7F" w:rsidRDefault="00AE06EE" w:rsidP="003419F0">
      <w:pPr>
        <w:pStyle w:val="Textonotapie"/>
      </w:pPr>
      <w:r w:rsidRPr="00B03D7F">
        <w:rPr>
          <w:rStyle w:val="Refdenotaalpie"/>
        </w:rPr>
        <w:footnoteRef/>
      </w:r>
      <w:r w:rsidRPr="00B03D7F">
        <w:t xml:space="preserve"> </w:t>
      </w:r>
      <w:r w:rsidR="004C0E70">
        <w:t xml:space="preserve">Sentencia recaída a la </w:t>
      </w:r>
      <w:r w:rsidR="001F1D65">
        <w:t>a</w:t>
      </w:r>
      <w:r w:rsidR="002E0362" w:rsidRPr="00B03D7F">
        <w:t xml:space="preserve">cción de </w:t>
      </w:r>
      <w:r w:rsidR="001F1D65">
        <w:t>i</w:t>
      </w:r>
      <w:r w:rsidR="002E0362" w:rsidRPr="00B03D7F">
        <w:t>nconstitucionalidad 83/2017</w:t>
      </w:r>
      <w:r w:rsidR="002E0362" w:rsidRPr="001F1D65">
        <w:t xml:space="preserve"> y sus acumuladas</w:t>
      </w:r>
      <w:r w:rsidR="001F1D65" w:rsidRPr="001F1D65">
        <w:t xml:space="preserve"> 88/2017, 89/2017, 91/2017, 92/2017, 96/2017 y 98/2017</w:t>
      </w:r>
      <w:r w:rsidR="00BA25DA" w:rsidRPr="00B03D7F">
        <w:t>,</w:t>
      </w:r>
      <w:r w:rsidR="006621D3" w:rsidRPr="00B03D7F">
        <w:t xml:space="preserve"> Pleno de la Suprema Corte de Justicia de la Nación,</w:t>
      </w:r>
      <w:r w:rsidR="004C0E70">
        <w:t xml:space="preserve"> Ponente: </w:t>
      </w:r>
      <w:r w:rsidR="004C0E70">
        <w:t>Ministro Jorge Mario Pardo Rebolledo,</w:t>
      </w:r>
      <w:r w:rsidR="006621D3" w:rsidRPr="00B03D7F">
        <w:t xml:space="preserve"> </w:t>
      </w:r>
      <w:r w:rsidR="004C0E70">
        <w:t>26 de octubre de 2017.</w:t>
      </w:r>
    </w:p>
  </w:footnote>
  <w:footnote w:id="39">
    <w:p w14:paraId="5097B93D" w14:textId="4387F823" w:rsidR="00211394" w:rsidRPr="00B03D7F" w:rsidRDefault="00211394" w:rsidP="003419F0">
      <w:pPr>
        <w:pStyle w:val="Textonotapie"/>
      </w:pPr>
      <w:r w:rsidRPr="0051091B">
        <w:rPr>
          <w:rStyle w:val="Refdenotaalpie"/>
        </w:rPr>
        <w:footnoteRef/>
      </w:r>
      <w:r w:rsidRPr="0051091B">
        <w:t xml:space="preserve"> </w:t>
      </w:r>
      <w:r w:rsidR="004C0E70" w:rsidRPr="0051091B">
        <w:t xml:space="preserve">Sentencia recaída a la </w:t>
      </w:r>
      <w:r w:rsidR="0051091B" w:rsidRPr="0051091B">
        <w:t>a</w:t>
      </w:r>
      <w:r w:rsidR="004C0E70" w:rsidRPr="0051091B">
        <w:t xml:space="preserve">cción de </w:t>
      </w:r>
      <w:r w:rsidR="0051091B" w:rsidRPr="0051091B">
        <w:t>i</w:t>
      </w:r>
      <w:r w:rsidR="004C0E70" w:rsidRPr="0051091B">
        <w:t>nconstitucionalidad 148/2020 y sus acumuladas</w:t>
      </w:r>
      <w:r w:rsidR="0051091B" w:rsidRPr="0051091B">
        <w:t xml:space="preserve"> </w:t>
      </w:r>
      <w:r w:rsidR="0051091B" w:rsidRPr="0051091B">
        <w:rPr>
          <w:lang w:val="es-ES_tradnl"/>
        </w:rPr>
        <w:t>150/2020, 152/2020, 153/2020, 154/2020, 229/2020, 230/2020 y 252/2020</w:t>
      </w:r>
      <w:r w:rsidR="004C0E70">
        <w:t xml:space="preserve">, Pleno de la Suprema Corte de Justicia de la Nación, </w:t>
      </w:r>
      <w:r w:rsidRPr="00B03D7F">
        <w:t xml:space="preserve">Ponente: </w:t>
      </w:r>
      <w:r w:rsidRPr="00B03D7F">
        <w:t>Ministro Juan Luis González Alcántara Carranca</w:t>
      </w:r>
      <w:r w:rsidR="004C0E70">
        <w:t>, 23 de noviembre de 2020.</w:t>
      </w:r>
    </w:p>
  </w:footnote>
  <w:footnote w:id="40">
    <w:p w14:paraId="67AA2AD4" w14:textId="58F8F010" w:rsidR="00211394" w:rsidRPr="00B03D7F" w:rsidRDefault="00211394" w:rsidP="003419F0">
      <w:pPr>
        <w:pStyle w:val="Textonotapie"/>
      </w:pPr>
      <w:r w:rsidRPr="00B03D7F">
        <w:rPr>
          <w:rStyle w:val="Refdenotaalpie"/>
        </w:rPr>
        <w:footnoteRef/>
      </w:r>
      <w:r w:rsidRPr="00B03D7F">
        <w:t xml:space="preserve"> </w:t>
      </w:r>
      <w:r w:rsidR="004C0E70">
        <w:t>Sentencia recaída a la Acción de Incon</w:t>
      </w:r>
      <w:r w:rsidR="004C0E70" w:rsidRPr="0051091B">
        <w:t>stitucionalidad 241/2020 y sus acumuladas</w:t>
      </w:r>
      <w:r w:rsidR="0051091B" w:rsidRPr="0051091B">
        <w:t xml:space="preserve"> </w:t>
      </w:r>
      <w:r w:rsidR="0051091B" w:rsidRPr="0051091B">
        <w:rPr>
          <w:lang w:val="es-ES_tradnl"/>
        </w:rPr>
        <w:t>242/2020</w:t>
      </w:r>
      <w:r w:rsidR="0051091B" w:rsidRPr="0051091B">
        <w:rPr>
          <w:bCs/>
          <w:lang w:val="es-ES_tradnl"/>
        </w:rPr>
        <w:t xml:space="preserve">, </w:t>
      </w:r>
      <w:r w:rsidR="0051091B" w:rsidRPr="0051091B">
        <w:rPr>
          <w:lang w:val="es-ES_tradnl"/>
        </w:rPr>
        <w:t>243/2020</w:t>
      </w:r>
      <w:r w:rsidR="0051091B" w:rsidRPr="0051091B">
        <w:rPr>
          <w:bCs/>
          <w:lang w:val="es-ES_tradnl"/>
        </w:rPr>
        <w:t xml:space="preserve">, </w:t>
      </w:r>
      <w:r w:rsidR="0051091B" w:rsidRPr="0051091B">
        <w:rPr>
          <w:lang w:val="es-ES_tradnl"/>
        </w:rPr>
        <w:t>248/2020</w:t>
      </w:r>
      <w:r w:rsidR="0051091B" w:rsidRPr="0051091B">
        <w:rPr>
          <w:bCs/>
          <w:lang w:val="es-ES_tradnl"/>
        </w:rPr>
        <w:t xml:space="preserve"> y </w:t>
      </w:r>
      <w:r w:rsidR="0051091B" w:rsidRPr="0051091B">
        <w:rPr>
          <w:lang w:val="es-ES_tradnl"/>
        </w:rPr>
        <w:t>251/2020</w:t>
      </w:r>
      <w:r w:rsidR="004C0E70">
        <w:t xml:space="preserve">, Pleno de la Suprema Corte de Justicia de la Nación, </w:t>
      </w:r>
      <w:r w:rsidRPr="00B03D7F">
        <w:t xml:space="preserve">Ponente: </w:t>
      </w:r>
      <w:r w:rsidRPr="00B03D7F">
        <w:t>Ministra Yasmín Esquivel Mossa</w:t>
      </w:r>
      <w:r w:rsidR="004C0E70">
        <w:t>, 3 de diciembre de 2020.</w:t>
      </w:r>
    </w:p>
  </w:footnote>
  <w:footnote w:id="41">
    <w:p w14:paraId="5431E966" w14:textId="03AF8030" w:rsidR="00F75C5B" w:rsidRPr="00B03D7F" w:rsidRDefault="00F75C5B" w:rsidP="003419F0">
      <w:pPr>
        <w:pStyle w:val="Textonotapie"/>
      </w:pPr>
      <w:r w:rsidRPr="00B03D7F">
        <w:rPr>
          <w:rStyle w:val="Refdenotaalpie"/>
        </w:rPr>
        <w:footnoteRef/>
      </w:r>
      <w:r w:rsidRPr="00B03D7F">
        <w:t xml:space="preserve"> </w:t>
      </w:r>
      <w:r w:rsidR="00516202" w:rsidRPr="00B03D7F">
        <w:t xml:space="preserve">De acuerdo con lo informado por la Sala Superior del Tribunal Electoral del Poder </w:t>
      </w:r>
      <w:r w:rsidR="00FC751C">
        <w:t>J</w:t>
      </w:r>
      <w:r w:rsidR="00516202" w:rsidRPr="00B03D7F">
        <w:t>udicial de la Federación.</w:t>
      </w:r>
    </w:p>
  </w:footnote>
  <w:footnote w:id="42">
    <w:p w14:paraId="59C97D6A" w14:textId="7C05CFA1" w:rsidR="00C80D35" w:rsidRPr="00B03D7F" w:rsidRDefault="00C80D35" w:rsidP="00C80D35">
      <w:pPr>
        <w:pStyle w:val="Textonotapie"/>
      </w:pPr>
      <w:r w:rsidRPr="00B03D7F">
        <w:rPr>
          <w:rStyle w:val="Refdenotaalpie"/>
        </w:rPr>
        <w:footnoteRef/>
      </w:r>
      <w:r w:rsidRPr="00B03D7F">
        <w:t xml:space="preserve"> Véase la </w:t>
      </w:r>
      <w:r w:rsidR="0051091B">
        <w:t>a</w:t>
      </w:r>
      <w:r w:rsidRPr="00B03D7F">
        <w:t xml:space="preserve">cción de </w:t>
      </w:r>
      <w:r w:rsidR="0051091B">
        <w:t>i</w:t>
      </w:r>
      <w:r w:rsidRPr="00B03D7F">
        <w:t>nconstitucionalidad 294/202</w:t>
      </w:r>
      <w:r w:rsidR="00AB3421">
        <w:t>0 y sus acumuladas 298/2020 y 301/2020</w:t>
      </w:r>
      <w:r w:rsidRPr="00B03D7F">
        <w:t xml:space="preserve"> aprobada por el Tribunal Pleno de la Suprema Corte de Justicia de la Nación en sesión de </w:t>
      </w:r>
      <w:r w:rsidR="00AB3421">
        <w:t>6</w:t>
      </w:r>
      <w:r w:rsidRPr="00B03D7F">
        <w:t xml:space="preserve"> de diciembre de </w:t>
      </w:r>
      <w:r w:rsidR="00AB3421">
        <w:t>2021</w:t>
      </w:r>
      <w:r w:rsidRPr="00B03D7F">
        <w:t>. Ponente</w:t>
      </w:r>
      <w:r w:rsidR="00F0620F">
        <w:t>:</w:t>
      </w:r>
      <w:r w:rsidRPr="00B03D7F">
        <w:t xml:space="preserve"> Ministra Ana Margarita Ríos Farjat.</w:t>
      </w:r>
    </w:p>
  </w:footnote>
  <w:footnote w:id="43">
    <w:p w14:paraId="61019AEE" w14:textId="52944398" w:rsidR="00F86D4A" w:rsidRPr="00B03D7F" w:rsidRDefault="00F86D4A">
      <w:pPr>
        <w:pStyle w:val="Textonotapie"/>
      </w:pPr>
      <w:r w:rsidRPr="00B03D7F">
        <w:rPr>
          <w:rStyle w:val="Refdenotaalpie"/>
        </w:rPr>
        <w:footnoteRef/>
      </w:r>
      <w:r w:rsidRPr="00B03D7F">
        <w:t xml:space="preserve"> </w:t>
      </w:r>
      <w:r w:rsidR="00F0620F">
        <w:t xml:space="preserve">Sentencia recaída a la </w:t>
      </w:r>
      <w:r w:rsidR="00DB4A08">
        <w:t>a</w:t>
      </w:r>
      <w:r w:rsidR="00F0620F">
        <w:t xml:space="preserve">cción de </w:t>
      </w:r>
      <w:r w:rsidR="00DB4A08">
        <w:t>i</w:t>
      </w:r>
      <w:r w:rsidR="00F0620F">
        <w:t xml:space="preserve">nconstitucionalidad 28/2005, Pleno de la Suprema Corte de Justicia de la Nación, </w:t>
      </w:r>
      <w:r w:rsidRPr="00B03D7F">
        <w:t xml:space="preserve">Ponente: </w:t>
      </w:r>
      <w:r w:rsidRPr="00B03D7F">
        <w:t>Ministra Olga Sánchez Cordero, 15 de noviembre de 2005.</w:t>
      </w:r>
    </w:p>
  </w:footnote>
  <w:footnote w:id="44">
    <w:p w14:paraId="3C0FBDA9" w14:textId="3F380614" w:rsidR="00293ABF" w:rsidRDefault="00293ABF">
      <w:pPr>
        <w:pStyle w:val="Textonotapie"/>
      </w:pPr>
      <w:r>
        <w:rPr>
          <w:rStyle w:val="Refdenotaalpie"/>
        </w:rPr>
        <w:footnoteRef/>
      </w:r>
      <w:r>
        <w:t xml:space="preserve"> </w:t>
      </w:r>
      <w:r w:rsidR="001C572A">
        <w:t xml:space="preserve">Gaceta Oficial para el Estado de Veracruz de veintiocho de febrero de dos mil veintidós. </w:t>
      </w:r>
      <w:r w:rsidR="001C572A" w:rsidRPr="001C572A">
        <w:t>http://www.editoraveracruz.gob.mx/gacetas/2022/02/Gac2022-082%20Lunes%2028%20TOMO%20II%20Ext.pdf</w:t>
      </w:r>
    </w:p>
  </w:footnote>
  <w:footnote w:id="45">
    <w:p w14:paraId="3DB0DCF5" w14:textId="7FC96E99" w:rsidR="00AE136A" w:rsidRDefault="00AE136A">
      <w:pPr>
        <w:pStyle w:val="Textonotapie"/>
      </w:pPr>
      <w:r>
        <w:rPr>
          <w:rStyle w:val="Refdenotaalpie"/>
        </w:rPr>
        <w:footnoteRef/>
      </w:r>
      <w:r>
        <w:t xml:space="preserve"> </w:t>
      </w:r>
      <w:r>
        <w:t xml:space="preserve">Similares consideraciones sostuvo este Alto Tribunal al resolver </w:t>
      </w:r>
      <w:r w:rsidRPr="00B03D7F">
        <w:t xml:space="preserve">la </w:t>
      </w:r>
      <w:r w:rsidR="00CB62E4">
        <w:t>a</w:t>
      </w:r>
      <w:r w:rsidRPr="00B03D7F">
        <w:t xml:space="preserve">cción de </w:t>
      </w:r>
      <w:r w:rsidR="00CB62E4">
        <w:t>i</w:t>
      </w:r>
      <w:r w:rsidRPr="00B03D7F">
        <w:t>nconstitucionalidad 294/2021</w:t>
      </w:r>
      <w:r>
        <w:t xml:space="preserve"> citada previamente.</w:t>
      </w:r>
    </w:p>
  </w:footnote>
  <w:footnote w:id="46">
    <w:p w14:paraId="005080B7" w14:textId="6C276FA4" w:rsidR="00621415" w:rsidRPr="00B03D7F" w:rsidRDefault="00621415" w:rsidP="00621415">
      <w:pPr>
        <w:pStyle w:val="Textonotapie"/>
      </w:pPr>
      <w:r w:rsidRPr="00B03D7F">
        <w:rPr>
          <w:rStyle w:val="Refdenotaalpie"/>
        </w:rPr>
        <w:footnoteRef/>
      </w:r>
      <w:r w:rsidRPr="00B03D7F">
        <w:t xml:space="preserve"> Sentencia recaída a la acción de </w:t>
      </w:r>
      <w:r w:rsidR="001C6967">
        <w:t>I</w:t>
      </w:r>
      <w:r w:rsidRPr="00B03D7F">
        <w:t>nconstitucionalidad 241/2020 y sus acumuladas 242/2020, 243/2020, 248/2020 y 251/2020, Pleno de la Suprema Corte de Justicia de la Nación, Ponente: Ministra Yasmín Esquivel Mossa, 3 de diciembre de 2020.</w:t>
      </w:r>
    </w:p>
  </w:footnote>
  <w:footnote w:id="47">
    <w:p w14:paraId="73ACA704" w14:textId="77777777" w:rsidR="00BB61BD" w:rsidRPr="00B03D7F" w:rsidRDefault="00BB61BD" w:rsidP="003419F0">
      <w:pPr>
        <w:pStyle w:val="Footnote"/>
        <w:rPr>
          <w:sz w:val="20"/>
          <w:szCs w:val="20"/>
        </w:rPr>
      </w:pPr>
      <w:r w:rsidRPr="00B03D7F">
        <w:rPr>
          <w:rStyle w:val="Refdenotaalpie"/>
          <w:sz w:val="20"/>
          <w:szCs w:val="20"/>
        </w:rPr>
        <w:footnoteRef/>
      </w:r>
      <w:r w:rsidRPr="00B03D7F">
        <w:rPr>
          <w:sz w:val="20"/>
          <w:szCs w:val="20"/>
        </w:rPr>
        <w:t xml:space="preserve"> “ARTÍCULO 41.- […]</w:t>
      </w:r>
    </w:p>
    <w:p w14:paraId="41904CAC" w14:textId="77777777" w:rsidR="00BB61BD" w:rsidRPr="00B03D7F" w:rsidRDefault="00BB61BD" w:rsidP="003419F0">
      <w:pPr>
        <w:pStyle w:val="Footnote"/>
        <w:rPr>
          <w:sz w:val="20"/>
          <w:szCs w:val="20"/>
        </w:rPr>
      </w:pPr>
      <w:r w:rsidRPr="00B03D7F">
        <w:rPr>
          <w:sz w:val="20"/>
          <w:szCs w:val="20"/>
        </w:rPr>
        <w:t>[…]</w:t>
      </w:r>
    </w:p>
    <w:p w14:paraId="57DA4504" w14:textId="77777777" w:rsidR="00BB61BD" w:rsidRPr="00B03D7F" w:rsidRDefault="00BB61BD" w:rsidP="003419F0">
      <w:pPr>
        <w:pStyle w:val="Footnote"/>
        <w:rPr>
          <w:sz w:val="20"/>
          <w:szCs w:val="20"/>
        </w:rPr>
      </w:pPr>
      <w:r w:rsidRPr="00B03D7F">
        <w:rPr>
          <w:sz w:val="20"/>
          <w:szCs w:val="20"/>
        </w:rPr>
        <w:t>II. 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14:paraId="6B967ED2" w14:textId="77777777" w:rsidR="00BB61BD" w:rsidRPr="00B03D7F" w:rsidRDefault="00BB61BD" w:rsidP="003419F0">
      <w:pPr>
        <w:pStyle w:val="Footnote"/>
        <w:rPr>
          <w:sz w:val="20"/>
          <w:szCs w:val="20"/>
        </w:rPr>
      </w:pPr>
      <w:r w:rsidRPr="00B03D7F">
        <w:rPr>
          <w:sz w:val="20"/>
          <w:szCs w:val="20"/>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14:paraId="078C2C5D" w14:textId="77777777" w:rsidR="00BB61BD" w:rsidRPr="00B03D7F" w:rsidRDefault="00BB61BD" w:rsidP="003419F0">
      <w:pPr>
        <w:pStyle w:val="Footnote"/>
        <w:rPr>
          <w:sz w:val="20"/>
          <w:szCs w:val="20"/>
        </w:rPr>
      </w:pPr>
      <w:r w:rsidRPr="00B03D7F">
        <w:rPr>
          <w:sz w:val="20"/>
          <w:szCs w:val="20"/>
        </w:rPr>
        <w:t xml:space="preserve">a) El financiamiento público para el sostenimiento de sus actividades ordinarias permanentes 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w:t>
      </w:r>
      <w:r w:rsidRPr="00B03D7F">
        <w:rPr>
          <w:sz w:val="20"/>
          <w:szCs w:val="20"/>
        </w:rPr>
        <w:t>ciento restante de acuerdo con el porcentaje de votos que hubieren obtenido en la elección de diputados inmediata anterior.</w:t>
      </w:r>
    </w:p>
    <w:p w14:paraId="278E98D2" w14:textId="77777777" w:rsidR="00BB61BD" w:rsidRPr="00B03D7F" w:rsidRDefault="00BB61BD" w:rsidP="003419F0">
      <w:pPr>
        <w:pStyle w:val="Footnote"/>
        <w:rPr>
          <w:sz w:val="20"/>
          <w:szCs w:val="20"/>
        </w:rPr>
      </w:pPr>
      <w:r w:rsidRPr="00B03D7F">
        <w:rPr>
          <w:sz w:val="20"/>
          <w:szCs w:val="20"/>
        </w:rPr>
        <w:t>b) El financiamiento público para las actividades tendientes a la obtención del voto durante el año en que se elijan Presidente de la República, senadores y diputados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 ordinarias.</w:t>
      </w:r>
    </w:p>
    <w:p w14:paraId="24896A23" w14:textId="77777777" w:rsidR="00BB61BD" w:rsidRPr="00B03D7F" w:rsidRDefault="00BB61BD" w:rsidP="003419F0">
      <w:pPr>
        <w:pStyle w:val="Footnote"/>
        <w:rPr>
          <w:sz w:val="20"/>
          <w:szCs w:val="20"/>
        </w:rPr>
      </w:pPr>
      <w:r w:rsidRPr="00B03D7F">
        <w:rPr>
          <w:sz w:val="20"/>
          <w:szCs w:val="20"/>
        </w:rPr>
        <w:t>c) 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14:paraId="46B97CE2" w14:textId="77777777" w:rsidR="00BB61BD" w:rsidRPr="00B03D7F" w:rsidRDefault="00BB61BD" w:rsidP="003419F0">
      <w:pPr>
        <w:pStyle w:val="Footnote"/>
        <w:rPr>
          <w:sz w:val="20"/>
          <w:szCs w:val="20"/>
        </w:rPr>
      </w:pPr>
      <w:r w:rsidRPr="00B03D7F">
        <w:rPr>
          <w:sz w:val="20"/>
          <w:szCs w:val="20"/>
        </w:rPr>
        <w:t>La ley fijará los límites a las erogaciones en los procesos internos de selección de candidatos y en las campañas electorales. La propia ley establecerá el monto máximo que tendrán las aportaciones de sus militantes y simpatizantes; ordenará los procedimientos para el control, fiscalización oportuna y vigilancia, durante la campaña, del origen y uso de todos los recursos con que cuenten; asimismo, dispondrá las sanciones que deban imponerse por el incumplimiento de estas disposiciones.</w:t>
      </w:r>
    </w:p>
    <w:p w14:paraId="54F8BE78" w14:textId="77777777" w:rsidR="00BB61BD" w:rsidRPr="00B03D7F" w:rsidRDefault="00BB61BD" w:rsidP="003419F0">
      <w:pPr>
        <w:pStyle w:val="Footnote"/>
        <w:rPr>
          <w:sz w:val="20"/>
          <w:szCs w:val="20"/>
        </w:rPr>
      </w:pPr>
      <w:r w:rsidRPr="00B03D7F">
        <w:rPr>
          <w:sz w:val="20"/>
          <w:szCs w:val="20"/>
        </w:rPr>
        <w:t>De igual manera, la ley establecerá el procedimiento para la liquidación de las obligaciones de los partidos que pierdan su registro y los supuestos en los que sus bienes y remanentes serán adjudicados a la Federación. […].</w:t>
      </w:r>
    </w:p>
  </w:footnote>
  <w:footnote w:id="48">
    <w:p w14:paraId="7C5E2D06" w14:textId="3068D30F" w:rsidR="00BB61BD" w:rsidRPr="00B03D7F" w:rsidRDefault="00BB61BD" w:rsidP="003419F0">
      <w:pPr>
        <w:pStyle w:val="Footnote"/>
        <w:rPr>
          <w:sz w:val="20"/>
          <w:szCs w:val="20"/>
        </w:rPr>
      </w:pPr>
      <w:r w:rsidRPr="00B03D7F">
        <w:rPr>
          <w:rStyle w:val="Refdenotaalpie"/>
          <w:sz w:val="20"/>
          <w:szCs w:val="20"/>
        </w:rPr>
        <w:footnoteRef/>
      </w:r>
      <w:r w:rsidRPr="00B03D7F">
        <w:rPr>
          <w:sz w:val="20"/>
          <w:szCs w:val="20"/>
        </w:rPr>
        <w:t xml:space="preserve"> “ARTÍCULO 116. El poder público de los estados se dividirá, para su ejercicio, en Ejecutivo, Legislativo y Judicial, y no podrán reunirse dos o más de estos poderes en una sola persona o corporación, ni depositarse el legislativo en un solo individuo.</w:t>
      </w:r>
    </w:p>
    <w:p w14:paraId="43F24AEC" w14:textId="77777777" w:rsidR="00BB61BD" w:rsidRPr="00B03D7F" w:rsidRDefault="00BB61BD" w:rsidP="003419F0">
      <w:pPr>
        <w:pStyle w:val="Footnote"/>
        <w:rPr>
          <w:sz w:val="20"/>
          <w:szCs w:val="20"/>
        </w:rPr>
      </w:pPr>
      <w:r w:rsidRPr="00B03D7F">
        <w:rPr>
          <w:sz w:val="20"/>
          <w:szCs w:val="20"/>
        </w:rPr>
        <w:t>Los poderes de los Estados se organizarán conforme a la Constitución de cada uno de ellos, con sujeción a las siguientes normas:</w:t>
      </w:r>
    </w:p>
    <w:p w14:paraId="4131106F" w14:textId="77777777" w:rsidR="00BB61BD" w:rsidRPr="00B03D7F" w:rsidRDefault="00BB61BD" w:rsidP="003419F0">
      <w:pPr>
        <w:pStyle w:val="Footnote"/>
        <w:rPr>
          <w:sz w:val="20"/>
          <w:szCs w:val="20"/>
        </w:rPr>
      </w:pPr>
      <w:r w:rsidRPr="00B03D7F">
        <w:rPr>
          <w:sz w:val="20"/>
          <w:szCs w:val="20"/>
        </w:rPr>
        <w:t>[…].</w:t>
      </w:r>
    </w:p>
    <w:p w14:paraId="12503DDB" w14:textId="77777777" w:rsidR="00BB61BD" w:rsidRPr="00B03D7F" w:rsidRDefault="00BB61BD" w:rsidP="003419F0">
      <w:pPr>
        <w:pStyle w:val="Footnote"/>
        <w:rPr>
          <w:sz w:val="20"/>
          <w:szCs w:val="20"/>
        </w:rPr>
      </w:pPr>
      <w:r w:rsidRPr="00B03D7F">
        <w:rPr>
          <w:sz w:val="20"/>
          <w:szCs w:val="20"/>
        </w:rPr>
        <w:t>IV. De conformidad con las bases establecidas en esta Constitución y las leyes generales en la materia, las Constituciones y leyes de los Estados en materia electoral, garantizarán que:</w:t>
      </w:r>
    </w:p>
    <w:p w14:paraId="2B61B1A2" w14:textId="77777777" w:rsidR="00BB61BD" w:rsidRPr="00B03D7F" w:rsidRDefault="00BB61BD" w:rsidP="003419F0">
      <w:pPr>
        <w:pStyle w:val="Footnote"/>
        <w:rPr>
          <w:sz w:val="20"/>
          <w:szCs w:val="20"/>
        </w:rPr>
      </w:pPr>
      <w:r w:rsidRPr="00B03D7F">
        <w:rPr>
          <w:sz w:val="20"/>
          <w:szCs w:val="20"/>
        </w:rPr>
        <w:t>[…]</w:t>
      </w:r>
    </w:p>
    <w:p w14:paraId="5DE85ABB" w14:textId="77777777" w:rsidR="00BB61BD" w:rsidRPr="00B03D7F" w:rsidRDefault="00BB61BD" w:rsidP="003419F0">
      <w:pPr>
        <w:pStyle w:val="Footnote"/>
        <w:rPr>
          <w:sz w:val="20"/>
          <w:szCs w:val="20"/>
        </w:rPr>
      </w:pPr>
      <w:r w:rsidRPr="00B03D7F">
        <w:rPr>
          <w:sz w:val="20"/>
          <w:szCs w:val="20"/>
        </w:rPr>
        <w:t>g) 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14:paraId="35EDB1B1" w14:textId="77E73DF0" w:rsidR="00BB61BD" w:rsidRPr="00B03D7F" w:rsidRDefault="00BB61BD" w:rsidP="003419F0">
      <w:pPr>
        <w:pStyle w:val="Footnote"/>
        <w:rPr>
          <w:sz w:val="20"/>
          <w:szCs w:val="20"/>
        </w:rPr>
      </w:pPr>
      <w:r w:rsidRPr="00B03D7F">
        <w:rPr>
          <w:sz w:val="20"/>
          <w:szCs w:val="20"/>
        </w:rPr>
        <w:t>[…]”</w:t>
      </w:r>
    </w:p>
  </w:footnote>
  <w:footnote w:id="49">
    <w:p w14:paraId="0F51C0B6" w14:textId="299E534E" w:rsidR="00BB61BD" w:rsidRPr="00B03D7F" w:rsidRDefault="00BB61BD" w:rsidP="003419F0">
      <w:pPr>
        <w:pStyle w:val="Footnote"/>
        <w:rPr>
          <w:sz w:val="20"/>
          <w:szCs w:val="20"/>
        </w:rPr>
      </w:pPr>
      <w:r w:rsidRPr="00B03D7F">
        <w:rPr>
          <w:rStyle w:val="Refdenotaalpie"/>
          <w:sz w:val="20"/>
          <w:szCs w:val="20"/>
        </w:rPr>
        <w:footnoteRef/>
      </w:r>
      <w:r w:rsidRPr="00B03D7F">
        <w:rPr>
          <w:sz w:val="20"/>
          <w:szCs w:val="20"/>
        </w:rPr>
        <w:t xml:space="preserve"> “ARTÍCULO 73.- El Congreso tiene facultad:</w:t>
      </w:r>
    </w:p>
    <w:p w14:paraId="4E5ACBE0" w14:textId="77777777" w:rsidR="00BB61BD" w:rsidRPr="00B03D7F" w:rsidRDefault="00BB61BD" w:rsidP="003419F0">
      <w:pPr>
        <w:pStyle w:val="Footnote"/>
        <w:rPr>
          <w:sz w:val="20"/>
          <w:szCs w:val="20"/>
        </w:rPr>
      </w:pPr>
      <w:r w:rsidRPr="00B03D7F">
        <w:rPr>
          <w:sz w:val="20"/>
          <w:szCs w:val="20"/>
        </w:rPr>
        <w:t>[…]</w:t>
      </w:r>
    </w:p>
    <w:p w14:paraId="0C4C2E57" w14:textId="77777777" w:rsidR="00BB61BD" w:rsidRPr="00B03D7F" w:rsidRDefault="00BB61BD" w:rsidP="003419F0">
      <w:pPr>
        <w:pStyle w:val="Footnote"/>
        <w:rPr>
          <w:sz w:val="20"/>
          <w:szCs w:val="20"/>
        </w:rPr>
      </w:pPr>
      <w:r w:rsidRPr="00B03D7F">
        <w:rPr>
          <w:sz w:val="20"/>
          <w:szCs w:val="20"/>
        </w:rPr>
        <w:t>XXIX-U. Para expedir las leyes generales que distribuyan competencias entre la Federación y las entidades federativas en materias de partidos políticos; organismos electorales, y procesos electorales, conforme a las bases previstas en esta Constitución.</w:t>
      </w:r>
    </w:p>
    <w:p w14:paraId="619A6A8A" w14:textId="5462956C" w:rsidR="00BB61BD" w:rsidRPr="00B03D7F" w:rsidRDefault="00BB61BD" w:rsidP="003419F0">
      <w:pPr>
        <w:pStyle w:val="Footnote"/>
        <w:rPr>
          <w:sz w:val="20"/>
          <w:szCs w:val="20"/>
        </w:rPr>
      </w:pPr>
      <w:r w:rsidRPr="00B03D7F">
        <w:rPr>
          <w:sz w:val="20"/>
          <w:szCs w:val="20"/>
        </w:rPr>
        <w:t>[…]”.</w:t>
      </w:r>
    </w:p>
  </w:footnote>
  <w:footnote w:id="50">
    <w:p w14:paraId="22944296" w14:textId="77777777" w:rsidR="00D55A50" w:rsidRPr="00B03D7F" w:rsidRDefault="00D55A50" w:rsidP="003419F0">
      <w:pPr>
        <w:pStyle w:val="Footnote"/>
        <w:rPr>
          <w:sz w:val="20"/>
          <w:szCs w:val="20"/>
        </w:rPr>
      </w:pPr>
      <w:r w:rsidRPr="00B03D7F">
        <w:rPr>
          <w:rStyle w:val="Refdenotaalpie"/>
          <w:sz w:val="20"/>
          <w:szCs w:val="20"/>
        </w:rPr>
        <w:footnoteRef/>
      </w:r>
      <w:r w:rsidRPr="00B03D7F">
        <w:rPr>
          <w:sz w:val="20"/>
          <w:szCs w:val="20"/>
        </w:rPr>
        <w:t xml:space="preserve"> “ARTÍCULO 1.</w:t>
      </w:r>
    </w:p>
    <w:p w14:paraId="2CCB3D53" w14:textId="77777777" w:rsidR="00D55A50" w:rsidRPr="00B03D7F" w:rsidRDefault="00D55A50" w:rsidP="003419F0">
      <w:pPr>
        <w:pStyle w:val="Footnote"/>
        <w:rPr>
          <w:sz w:val="20"/>
          <w:szCs w:val="20"/>
        </w:rPr>
      </w:pPr>
      <w:r w:rsidRPr="00B03D7F">
        <w:rPr>
          <w:sz w:val="20"/>
          <w:szCs w:val="20"/>
        </w:rPr>
        <w:t>1. La presente Ley es de orden público y de observancia general en el territorio nacional, y tiene por objeto regular las disposiciones constitucionales aplicables a los partidos políticos nacionales y locales, así como distribuir competencias entre la Federación y las entidades federativas en materia de: […]</w:t>
      </w:r>
    </w:p>
    <w:p w14:paraId="0BFC61E9" w14:textId="77777777" w:rsidR="00D55A50" w:rsidRPr="00B03D7F" w:rsidRDefault="00D55A50" w:rsidP="003419F0">
      <w:pPr>
        <w:pStyle w:val="Footnote"/>
        <w:rPr>
          <w:sz w:val="20"/>
          <w:szCs w:val="20"/>
        </w:rPr>
      </w:pPr>
      <w:r w:rsidRPr="00B03D7F">
        <w:rPr>
          <w:sz w:val="20"/>
          <w:szCs w:val="20"/>
        </w:rPr>
        <w:t xml:space="preserve">c) Los lineamientos </w:t>
      </w:r>
      <w:r w:rsidRPr="00B03D7F">
        <w:rPr>
          <w:sz w:val="20"/>
          <w:szCs w:val="20"/>
        </w:rPr>
        <w:t xml:space="preserve">básicos para la integración de sus órganos directivos, la postulación de sus candidatos, la conducción de sus actividades de forma democrática, sus prerrogativas y la transparencia en el uso de recursos; </w:t>
      </w:r>
    </w:p>
  </w:footnote>
  <w:footnote w:id="51">
    <w:p w14:paraId="1CA1B626" w14:textId="7026638D" w:rsidR="0043227B" w:rsidRPr="00B03D7F" w:rsidRDefault="0043227B" w:rsidP="003419F0">
      <w:pPr>
        <w:pStyle w:val="Footnote"/>
        <w:rPr>
          <w:sz w:val="20"/>
          <w:szCs w:val="20"/>
        </w:rPr>
      </w:pPr>
      <w:r w:rsidRPr="00B03D7F">
        <w:rPr>
          <w:rStyle w:val="Refdenotaalpie"/>
          <w:sz w:val="20"/>
          <w:szCs w:val="20"/>
        </w:rPr>
        <w:footnoteRef/>
      </w:r>
      <w:r w:rsidRPr="00B03D7F">
        <w:rPr>
          <w:sz w:val="20"/>
          <w:szCs w:val="20"/>
        </w:rPr>
        <w:t xml:space="preserve"> LEY GENERAL DE PARTIDOS POLÍTICOS </w:t>
      </w:r>
    </w:p>
    <w:p w14:paraId="7C68C197" w14:textId="666DC815" w:rsidR="0043227B" w:rsidRPr="00B03D7F" w:rsidRDefault="0043227B" w:rsidP="003419F0">
      <w:pPr>
        <w:pStyle w:val="Footnote"/>
        <w:rPr>
          <w:sz w:val="20"/>
          <w:szCs w:val="20"/>
        </w:rPr>
      </w:pPr>
      <w:r w:rsidRPr="00B03D7F">
        <w:rPr>
          <w:sz w:val="20"/>
          <w:szCs w:val="20"/>
        </w:rPr>
        <w:t>ARTÍCULO 23.</w:t>
      </w:r>
    </w:p>
    <w:p w14:paraId="59D7B6B7" w14:textId="77777777" w:rsidR="0043227B" w:rsidRPr="00B03D7F" w:rsidRDefault="0043227B" w:rsidP="003419F0">
      <w:pPr>
        <w:pStyle w:val="Footnote"/>
        <w:rPr>
          <w:sz w:val="20"/>
          <w:szCs w:val="20"/>
        </w:rPr>
      </w:pPr>
      <w:r w:rsidRPr="00B03D7F">
        <w:rPr>
          <w:sz w:val="20"/>
          <w:szCs w:val="20"/>
        </w:rPr>
        <w:t>1. Son derechos de los partidos políticos: […]</w:t>
      </w:r>
    </w:p>
    <w:p w14:paraId="438963DF" w14:textId="77777777" w:rsidR="0043227B" w:rsidRPr="00B03D7F" w:rsidRDefault="0043227B" w:rsidP="003419F0">
      <w:pPr>
        <w:pStyle w:val="Footnote"/>
        <w:rPr>
          <w:sz w:val="20"/>
          <w:szCs w:val="20"/>
        </w:rPr>
      </w:pPr>
      <w:r w:rsidRPr="00B03D7F">
        <w:rPr>
          <w:sz w:val="20"/>
          <w:szCs w:val="20"/>
        </w:rPr>
        <w:t>d) Acceder a las prerrogativas y recibir el financiamiento público en los términos del artículo 41 de la Constitución, esta Ley y demás leyes federales o locales aplicables.</w:t>
      </w:r>
    </w:p>
    <w:p w14:paraId="08C9303E" w14:textId="77777777" w:rsidR="0043227B" w:rsidRPr="00B03D7F" w:rsidRDefault="0043227B" w:rsidP="003419F0">
      <w:pPr>
        <w:pStyle w:val="Footnote"/>
        <w:rPr>
          <w:sz w:val="20"/>
          <w:szCs w:val="20"/>
        </w:rPr>
      </w:pPr>
      <w:r w:rsidRPr="00B03D7F">
        <w:rPr>
          <w:sz w:val="20"/>
          <w:szCs w:val="20"/>
        </w:rPr>
        <w:t>En las entidades federativas donde exista financiamiento local para los partidos políticos nacionales que participen en las elecciones locales de la entidad, las leyes locales no podrán establecer limitaciones a dicho financiamiento, ni reducirlo por el financiamiento que reciban de sus dirigencias nacionales; […]</w:t>
      </w:r>
    </w:p>
    <w:p w14:paraId="294C5FEA" w14:textId="77777777" w:rsidR="0043227B" w:rsidRPr="00B03D7F" w:rsidRDefault="0043227B" w:rsidP="003419F0">
      <w:pPr>
        <w:pStyle w:val="Footnote"/>
        <w:rPr>
          <w:sz w:val="20"/>
          <w:szCs w:val="20"/>
        </w:rPr>
      </w:pPr>
      <w:r w:rsidRPr="00B03D7F">
        <w:rPr>
          <w:sz w:val="20"/>
          <w:szCs w:val="20"/>
        </w:rPr>
        <w:t>ARTÍCULO 26.</w:t>
      </w:r>
    </w:p>
    <w:p w14:paraId="72085FFB" w14:textId="77777777" w:rsidR="0043227B" w:rsidRPr="00B03D7F" w:rsidRDefault="0043227B" w:rsidP="003419F0">
      <w:pPr>
        <w:pStyle w:val="Footnote"/>
        <w:rPr>
          <w:sz w:val="20"/>
          <w:szCs w:val="20"/>
        </w:rPr>
      </w:pPr>
      <w:r w:rsidRPr="00B03D7F">
        <w:rPr>
          <w:sz w:val="20"/>
          <w:szCs w:val="20"/>
        </w:rPr>
        <w:t>1. Son prerrogativas de los partidos políticos: […]</w:t>
      </w:r>
    </w:p>
    <w:p w14:paraId="49311D1B" w14:textId="45962E1B" w:rsidR="00F0010C" w:rsidRPr="00B03D7F" w:rsidRDefault="0043227B" w:rsidP="003419F0">
      <w:pPr>
        <w:pStyle w:val="Footnote"/>
        <w:rPr>
          <w:sz w:val="20"/>
          <w:szCs w:val="20"/>
        </w:rPr>
      </w:pPr>
      <w:r w:rsidRPr="00B03D7F">
        <w:rPr>
          <w:sz w:val="20"/>
          <w:szCs w:val="20"/>
        </w:rPr>
        <w:t>b) Participar, en los términos de esta Ley, del financiamiento público correspondiente para sus actividades; […]”.</w:t>
      </w:r>
    </w:p>
  </w:footnote>
  <w:footnote w:id="52">
    <w:p w14:paraId="14F95E1A" w14:textId="27E7B36B" w:rsidR="00D55A50" w:rsidRPr="00B03D7F" w:rsidRDefault="00D55A50" w:rsidP="003419F0">
      <w:pPr>
        <w:pStyle w:val="Footnote"/>
        <w:rPr>
          <w:sz w:val="20"/>
          <w:szCs w:val="20"/>
        </w:rPr>
      </w:pPr>
      <w:r w:rsidRPr="00B03D7F">
        <w:rPr>
          <w:rStyle w:val="Refdenotaalpie"/>
          <w:sz w:val="20"/>
          <w:szCs w:val="20"/>
        </w:rPr>
        <w:footnoteRef/>
      </w:r>
      <w:r w:rsidRPr="00B03D7F">
        <w:rPr>
          <w:sz w:val="20"/>
          <w:szCs w:val="20"/>
        </w:rPr>
        <w:t xml:space="preserve"> “</w:t>
      </w:r>
      <w:r w:rsidR="008C73D4" w:rsidRPr="00B03D7F">
        <w:rPr>
          <w:sz w:val="20"/>
          <w:szCs w:val="20"/>
        </w:rPr>
        <w:t xml:space="preserve">Artículo </w:t>
      </w:r>
      <w:r w:rsidRPr="00B03D7F">
        <w:rPr>
          <w:sz w:val="20"/>
          <w:szCs w:val="20"/>
        </w:rPr>
        <w:t>50.</w:t>
      </w:r>
    </w:p>
    <w:p w14:paraId="3D9BCF09" w14:textId="77777777" w:rsidR="00D55A50" w:rsidRPr="00B03D7F" w:rsidRDefault="00D55A50" w:rsidP="003419F0">
      <w:pPr>
        <w:pStyle w:val="Footnote"/>
        <w:rPr>
          <w:sz w:val="20"/>
          <w:szCs w:val="20"/>
        </w:rPr>
      </w:pPr>
      <w:r w:rsidRPr="00B03D7F">
        <w:rPr>
          <w:sz w:val="20"/>
          <w:szCs w:val="20"/>
        </w:rPr>
        <w:t>1. Los partidos políticos tienen derecho a recibir, para desarrollar sus actividades, financiamiento público que se distribuirá de manera equitativa, conforme a lo establecido en el artículo 41, Base II de la Constitución, así como lo dispuesto en las constituciones locales.</w:t>
      </w:r>
    </w:p>
    <w:p w14:paraId="1D62509B" w14:textId="6D734283" w:rsidR="00D55A50" w:rsidRPr="00B03D7F" w:rsidRDefault="00D55A50" w:rsidP="003419F0">
      <w:pPr>
        <w:pStyle w:val="Footnote"/>
        <w:rPr>
          <w:sz w:val="20"/>
          <w:szCs w:val="20"/>
        </w:rPr>
      </w:pPr>
      <w:r w:rsidRPr="00B03D7F">
        <w:rPr>
          <w:sz w:val="20"/>
          <w:szCs w:val="20"/>
        </w:rPr>
        <w:t>2. El financiamiento público deberá prevalecer sobre otros tipos de financiamiento y será destinado para el sostenimiento de actividades ordinarias permanentes, gastos de procesos electorales y para actividades específicas como entidades de interés público”.</w:t>
      </w:r>
    </w:p>
  </w:footnote>
  <w:footnote w:id="53">
    <w:p w14:paraId="51004E84" w14:textId="6ECD92D5" w:rsidR="00822496" w:rsidRPr="00B03D7F" w:rsidRDefault="00822496" w:rsidP="003419F0">
      <w:pPr>
        <w:pStyle w:val="Footnote"/>
        <w:rPr>
          <w:sz w:val="20"/>
          <w:szCs w:val="20"/>
        </w:rPr>
      </w:pPr>
      <w:r w:rsidRPr="00B03D7F">
        <w:rPr>
          <w:rStyle w:val="Refdenotaalpie"/>
          <w:sz w:val="20"/>
          <w:szCs w:val="20"/>
        </w:rPr>
        <w:footnoteRef/>
      </w:r>
      <w:r w:rsidRPr="00B03D7F">
        <w:rPr>
          <w:sz w:val="20"/>
          <w:szCs w:val="20"/>
        </w:rPr>
        <w:t xml:space="preserve"> “Artículo 51.</w:t>
      </w:r>
    </w:p>
    <w:p w14:paraId="13D0FDDD" w14:textId="77777777" w:rsidR="00822496" w:rsidRPr="00B03D7F" w:rsidRDefault="00822496" w:rsidP="003419F0">
      <w:pPr>
        <w:pStyle w:val="Footnote"/>
        <w:rPr>
          <w:sz w:val="20"/>
          <w:szCs w:val="20"/>
        </w:rPr>
      </w:pPr>
      <w:r w:rsidRPr="00B03D7F">
        <w:rPr>
          <w:sz w:val="20"/>
          <w:szCs w:val="20"/>
        </w:rPr>
        <w:t>1. Los partidos políticos tendrán derecho al financiamiento público de sus actividades, estructura, sueldos y salarios, independientemente de las demás prerrogativas otorgadas en esta Ley, conforme a las disposiciones siguientes:</w:t>
      </w:r>
    </w:p>
    <w:p w14:paraId="53A7CDF1" w14:textId="77777777" w:rsidR="00822496" w:rsidRPr="00B03D7F" w:rsidRDefault="00822496" w:rsidP="003419F0">
      <w:pPr>
        <w:pStyle w:val="Footnote"/>
        <w:rPr>
          <w:sz w:val="20"/>
          <w:szCs w:val="20"/>
        </w:rPr>
      </w:pPr>
      <w:r w:rsidRPr="00B03D7F">
        <w:rPr>
          <w:sz w:val="20"/>
          <w:szCs w:val="20"/>
        </w:rPr>
        <w:t>a) Para el sostenimiento de actividades ordinarias permanentes:</w:t>
      </w:r>
    </w:p>
    <w:p w14:paraId="67947B67" w14:textId="77777777" w:rsidR="00822496" w:rsidRPr="00B03D7F" w:rsidRDefault="00822496" w:rsidP="003419F0">
      <w:pPr>
        <w:pStyle w:val="Footnote"/>
        <w:rPr>
          <w:sz w:val="20"/>
          <w:szCs w:val="20"/>
        </w:rPr>
      </w:pPr>
      <w:r w:rsidRPr="00B03D7F">
        <w:rPr>
          <w:sz w:val="20"/>
          <w:szCs w:val="20"/>
        </w:rPr>
        <w:t>I. El Consejo General, en el caso de los partidos políticos nacionales, o el Organismo Público Local, tratándose de partidos políticos locales, determinará anualmente el monto total por distribuir entre los partidos políticos conforme a lo siguiente: multiplicará el número total de ciudadanos inscritos en el padrón electoral federal o local, según sea el caso, a la fecha de corte de julio de cada año, por el sesenta y cinco por ciento del salario mínimo diario vigente para el Distrito Federal, para los partidos políticos nacionales, o el salario mínimo de la región en la cual se encuentre la entidad federativa, para el caso de los partidos políticos locales;</w:t>
      </w:r>
    </w:p>
    <w:p w14:paraId="464F0AFD" w14:textId="77777777" w:rsidR="00822496" w:rsidRPr="00B03D7F" w:rsidRDefault="00822496" w:rsidP="003419F0">
      <w:pPr>
        <w:pStyle w:val="Footnote"/>
        <w:rPr>
          <w:sz w:val="20"/>
          <w:szCs w:val="20"/>
        </w:rPr>
      </w:pPr>
      <w:r w:rsidRPr="00B03D7F">
        <w:rPr>
          <w:sz w:val="20"/>
          <w:szCs w:val="20"/>
        </w:rPr>
        <w:t>II. El resultado de la operación señalada en el inciso anterior constituye el financiamiento público anual a los partidos políticos por sus actividades ordinarias permanentes y se distribuirá en la forma que establece el inciso a), de la Base II, del artículo 41 de la Constitución;</w:t>
      </w:r>
    </w:p>
    <w:p w14:paraId="61656D51" w14:textId="77777777" w:rsidR="00822496" w:rsidRPr="00B03D7F" w:rsidRDefault="00822496" w:rsidP="003419F0">
      <w:pPr>
        <w:pStyle w:val="Footnote"/>
        <w:rPr>
          <w:sz w:val="20"/>
          <w:szCs w:val="20"/>
        </w:rPr>
      </w:pPr>
      <w:r w:rsidRPr="00B03D7F">
        <w:rPr>
          <w:sz w:val="20"/>
          <w:szCs w:val="20"/>
        </w:rPr>
        <w:t>III. Las cantidades que, en su caso, se determinen para cada partido, serán entregadas en ministraciones mensuales conforme al calendario presupuestal que se apruebe anualmente;</w:t>
      </w:r>
    </w:p>
    <w:p w14:paraId="0B1F9B5D" w14:textId="77777777" w:rsidR="00822496" w:rsidRPr="00B03D7F" w:rsidRDefault="00822496" w:rsidP="003419F0">
      <w:pPr>
        <w:pStyle w:val="Footnote"/>
        <w:rPr>
          <w:sz w:val="20"/>
          <w:szCs w:val="20"/>
        </w:rPr>
      </w:pPr>
      <w:r w:rsidRPr="00B03D7F">
        <w:rPr>
          <w:sz w:val="20"/>
          <w:szCs w:val="20"/>
        </w:rPr>
        <w:t>IV. Cada partido político deberá destinar anualmente por lo menos el dos por ciento del financiamiento público que reciba para el desarrollo de las actividades específicas, a que se refiere el inciso c) de este artículo, y</w:t>
      </w:r>
    </w:p>
    <w:p w14:paraId="5697F794" w14:textId="77777777" w:rsidR="00822496" w:rsidRPr="00B03D7F" w:rsidRDefault="00822496" w:rsidP="003419F0">
      <w:pPr>
        <w:pStyle w:val="Footnote"/>
        <w:rPr>
          <w:sz w:val="20"/>
          <w:szCs w:val="20"/>
        </w:rPr>
      </w:pPr>
      <w:r w:rsidRPr="00B03D7F">
        <w:rPr>
          <w:sz w:val="20"/>
          <w:szCs w:val="20"/>
        </w:rPr>
        <w:t>V. Para la capacitación, promoción y el desarrollo del liderazgo político de las mujeres, cada partido político deberá destinar anualmente, el tres por ciento del financiamiento público ordinario.</w:t>
      </w:r>
    </w:p>
    <w:p w14:paraId="1F01DCD5" w14:textId="77777777" w:rsidR="00822496" w:rsidRPr="00B03D7F" w:rsidRDefault="00822496" w:rsidP="003419F0">
      <w:pPr>
        <w:pStyle w:val="Footnote"/>
        <w:rPr>
          <w:sz w:val="20"/>
          <w:szCs w:val="20"/>
        </w:rPr>
      </w:pPr>
      <w:r w:rsidRPr="00B03D7F">
        <w:rPr>
          <w:sz w:val="20"/>
          <w:szCs w:val="20"/>
        </w:rPr>
        <w:t>b) Para gastos de Campaña:</w:t>
      </w:r>
    </w:p>
    <w:p w14:paraId="258198B8" w14:textId="77777777" w:rsidR="00822496" w:rsidRPr="00B03D7F" w:rsidRDefault="00822496" w:rsidP="003419F0">
      <w:pPr>
        <w:pStyle w:val="Footnote"/>
        <w:rPr>
          <w:sz w:val="20"/>
          <w:szCs w:val="20"/>
        </w:rPr>
      </w:pPr>
      <w:r w:rsidRPr="00B03D7F">
        <w:rPr>
          <w:sz w:val="20"/>
          <w:szCs w:val="20"/>
        </w:rPr>
        <w:t>I. En el año de la elección en que se renueven el Poder Ejecutivo federal o local y las dos Cámaras del Congreso de la Unión o la Cámara de alguna entidad federativa, a cada partido político nacional o local, en su caso, se le otorgará para gastos de campaña un monto equivalente al cincuenta por ciento del financiamiento público que para el sostenimiento de sus actividades ordinarias permanentes le corresponda en ese año;</w:t>
      </w:r>
    </w:p>
    <w:p w14:paraId="77CC8D4D" w14:textId="77777777" w:rsidR="00822496" w:rsidRPr="00B03D7F" w:rsidRDefault="00822496" w:rsidP="003419F0">
      <w:pPr>
        <w:pStyle w:val="Footnote"/>
        <w:rPr>
          <w:sz w:val="20"/>
          <w:szCs w:val="20"/>
        </w:rPr>
      </w:pPr>
      <w:r w:rsidRPr="00B03D7F">
        <w:rPr>
          <w:sz w:val="20"/>
          <w:szCs w:val="20"/>
        </w:rPr>
        <w:t>II. En el año de la elección en que se renueve solamente la Cámara de Diputados federal o los Congresos de las entidades federativas, a cada partido político nacional o local, respectivamente, se le otorgará para gastos de campaña un monto equivalente al treinta por ciento del financiamiento público que para el sostenimiento de sus actividades ordinarias permanentes le corresponda en ese año, y</w:t>
      </w:r>
    </w:p>
    <w:p w14:paraId="7D55C798" w14:textId="77777777" w:rsidR="00822496" w:rsidRPr="00B03D7F" w:rsidRDefault="00822496" w:rsidP="003419F0">
      <w:pPr>
        <w:pStyle w:val="Footnote"/>
        <w:rPr>
          <w:sz w:val="20"/>
          <w:szCs w:val="20"/>
        </w:rPr>
      </w:pPr>
      <w:r w:rsidRPr="00B03D7F">
        <w:rPr>
          <w:sz w:val="20"/>
          <w:szCs w:val="20"/>
        </w:rPr>
        <w:t>III. El financiamiento de campaña será administrado en su totalidad por los partidos políticos; estableciendo el prorrateo conforme lo previsto en esta Ley; teniendo que informarlas a la Comisión de Fiscalización diez días antes del inicio de la campaña electoral, la cual lo hará del conocimiento del Consejo General del Instituto en la siguiente sesión, sin que dichos porcentajes de prorrateo puedan ser modificados.</w:t>
      </w:r>
    </w:p>
    <w:p w14:paraId="5ED6FF8A" w14:textId="77777777" w:rsidR="00822496" w:rsidRPr="00B03D7F" w:rsidRDefault="00822496" w:rsidP="003419F0">
      <w:pPr>
        <w:pStyle w:val="Footnote"/>
        <w:rPr>
          <w:sz w:val="20"/>
          <w:szCs w:val="20"/>
        </w:rPr>
      </w:pPr>
      <w:r w:rsidRPr="00B03D7F">
        <w:rPr>
          <w:sz w:val="20"/>
          <w:szCs w:val="20"/>
        </w:rPr>
        <w:t>c) Por actividades específicas como entidades de interés público:</w:t>
      </w:r>
    </w:p>
    <w:p w14:paraId="79162B91" w14:textId="77777777" w:rsidR="00822496" w:rsidRPr="00B03D7F" w:rsidRDefault="00822496" w:rsidP="003419F0">
      <w:pPr>
        <w:pStyle w:val="Footnote"/>
        <w:rPr>
          <w:sz w:val="20"/>
          <w:szCs w:val="20"/>
        </w:rPr>
      </w:pPr>
      <w:r w:rsidRPr="00B03D7F">
        <w:rPr>
          <w:sz w:val="20"/>
          <w:szCs w:val="20"/>
        </w:rPr>
        <w:t>I. La educación y capacitación política, investigación socioeconómica y política, así como las tareas editoriales de los partidos políticos nacionales, serán apoyadas mediante financiamiento público por un monto total anual equivalente al tres por ciento del que corresponda en el mismo año para las actividades ordinarias a que se refiere el inciso a) de este artículo; el monto total será distribuido en los términos establecidos en la fracción II del inciso antes citado;</w:t>
      </w:r>
    </w:p>
    <w:p w14:paraId="62926318" w14:textId="77777777" w:rsidR="00822496" w:rsidRPr="00B03D7F" w:rsidRDefault="00822496" w:rsidP="003419F0">
      <w:pPr>
        <w:pStyle w:val="Footnote"/>
        <w:rPr>
          <w:sz w:val="20"/>
          <w:szCs w:val="20"/>
        </w:rPr>
      </w:pPr>
      <w:r w:rsidRPr="00B03D7F">
        <w:rPr>
          <w:sz w:val="20"/>
          <w:szCs w:val="20"/>
        </w:rPr>
        <w:t>II. El Consejo General, a través de la Unidad Técnica, vigilará que éstos destinen el financiamiento a que se refiere el presente inciso exclusivamente a las actividades señaladas en la fracción inmediata anterior, y</w:t>
      </w:r>
    </w:p>
    <w:p w14:paraId="24F06EA8" w14:textId="77777777" w:rsidR="00822496" w:rsidRPr="00B03D7F" w:rsidRDefault="00822496" w:rsidP="003419F0">
      <w:pPr>
        <w:pStyle w:val="Footnote"/>
        <w:rPr>
          <w:sz w:val="20"/>
          <w:szCs w:val="20"/>
        </w:rPr>
      </w:pPr>
      <w:r w:rsidRPr="00B03D7F">
        <w:rPr>
          <w:sz w:val="20"/>
          <w:szCs w:val="20"/>
        </w:rPr>
        <w:t>III. Las cantidades que en su caso se determinen para cada partido, serán entregadas en ministraciones mensuales conforme al calendario presupuestal que se apruebe anualmente.</w:t>
      </w:r>
    </w:p>
    <w:p w14:paraId="36D1DBD4" w14:textId="77777777" w:rsidR="00822496" w:rsidRPr="00B03D7F" w:rsidRDefault="00822496" w:rsidP="003419F0">
      <w:pPr>
        <w:pStyle w:val="Footnote"/>
        <w:rPr>
          <w:sz w:val="20"/>
          <w:szCs w:val="20"/>
        </w:rPr>
      </w:pPr>
      <w:r w:rsidRPr="00B03D7F">
        <w:rPr>
          <w:sz w:val="20"/>
          <w:szCs w:val="20"/>
        </w:rPr>
        <w:t>2. Los partidos políticos que hubieren obtenido su registro con fecha posterior a la última elección, o aquellos que habiendo conservado registro legal no cuenten con representación en alguna de las Cámaras del Congreso de la Unión o en el Congreso local, por lo que hace a los partidos locales, tendrán derecho a que se les otorgue financiamiento público conforme a las bases siguientes:</w:t>
      </w:r>
    </w:p>
    <w:p w14:paraId="2BEB21B8" w14:textId="77777777" w:rsidR="00822496" w:rsidRPr="00B03D7F" w:rsidRDefault="00822496" w:rsidP="003419F0">
      <w:pPr>
        <w:pStyle w:val="Footnote"/>
        <w:rPr>
          <w:sz w:val="20"/>
          <w:szCs w:val="20"/>
        </w:rPr>
      </w:pPr>
      <w:r w:rsidRPr="00B03D7F">
        <w:rPr>
          <w:sz w:val="20"/>
          <w:szCs w:val="20"/>
        </w:rPr>
        <w:t>a) Se le otorgará a cada partido político el dos por ciento del monto que por financiamiento total les corresponda a los partidos políticos para el sostenimiento de sus actividades ordinarias permanentes a que se refiere este artículo, así como, en el año de la elección de que se trate, el financiamiento para gastos de campaña que corresponda con base en lo dispuesto por el inciso b) del párrafo 1 del presente artículo, y</w:t>
      </w:r>
    </w:p>
    <w:p w14:paraId="7679512E" w14:textId="77777777" w:rsidR="00822496" w:rsidRPr="00B03D7F" w:rsidRDefault="00822496" w:rsidP="003419F0">
      <w:pPr>
        <w:pStyle w:val="Footnote"/>
        <w:rPr>
          <w:sz w:val="20"/>
          <w:szCs w:val="20"/>
        </w:rPr>
      </w:pPr>
      <w:r w:rsidRPr="00B03D7F">
        <w:rPr>
          <w:sz w:val="20"/>
          <w:szCs w:val="20"/>
        </w:rPr>
        <w:t>b) Participarán del financiamiento público para actividades específicas como entidades de interés público sólo en la parte que se distribuya en forma igualitaria.</w:t>
      </w:r>
    </w:p>
    <w:p w14:paraId="272C3A8A" w14:textId="23506BE0" w:rsidR="00822496" w:rsidRPr="00B03D7F" w:rsidRDefault="00822496" w:rsidP="003419F0">
      <w:pPr>
        <w:pStyle w:val="Footnote"/>
        <w:rPr>
          <w:sz w:val="20"/>
          <w:szCs w:val="20"/>
        </w:rPr>
      </w:pPr>
      <w:r w:rsidRPr="00B03D7F">
        <w:rPr>
          <w:sz w:val="20"/>
          <w:szCs w:val="20"/>
        </w:rPr>
        <w:t>3. Las cantidades a que se refiere el inciso a) del párrafo anterior serán entregadas en la parte proporcional que corresponda a la anualidad, a partir de la fecha en que surta efectos el registro y tomando en cuenta el calendario presupuestal aprobado para el año</w:t>
      </w:r>
      <w:r w:rsidR="00F0010C" w:rsidRPr="00B03D7F">
        <w:rPr>
          <w:sz w:val="20"/>
          <w:szCs w:val="20"/>
        </w:rPr>
        <w:t>”.</w:t>
      </w:r>
    </w:p>
  </w:footnote>
  <w:footnote w:id="54">
    <w:p w14:paraId="4731302E" w14:textId="2D443797" w:rsidR="00237C88" w:rsidRPr="00B03D7F" w:rsidRDefault="00237C88" w:rsidP="003419F0">
      <w:pPr>
        <w:pStyle w:val="Footnote"/>
        <w:rPr>
          <w:sz w:val="20"/>
          <w:szCs w:val="20"/>
        </w:rPr>
      </w:pPr>
      <w:r w:rsidRPr="00B03D7F">
        <w:rPr>
          <w:rStyle w:val="Refdenotaalpie"/>
          <w:sz w:val="20"/>
          <w:szCs w:val="20"/>
        </w:rPr>
        <w:footnoteRef/>
      </w:r>
      <w:r w:rsidRPr="00B03D7F">
        <w:rPr>
          <w:sz w:val="20"/>
          <w:szCs w:val="20"/>
        </w:rPr>
        <w:t xml:space="preserve"> </w:t>
      </w:r>
      <w:r w:rsidRPr="00B03D7F">
        <w:rPr>
          <w:sz w:val="20"/>
          <w:szCs w:val="20"/>
          <w:lang w:eastAsia="en-US"/>
        </w:rPr>
        <w:t>Artículo Tercero Transitorio de la reforma constitucional de veintisiete de enero de dos mil dieciséis, que a la letra dice: “Tercero.-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footnote>
  <w:footnote w:id="55">
    <w:p w14:paraId="5BBAA0FA" w14:textId="2BFA82AF" w:rsidR="00C468E8" w:rsidRPr="00B03D7F" w:rsidRDefault="00C468E8" w:rsidP="003419F0">
      <w:pPr>
        <w:pStyle w:val="Footnote"/>
        <w:rPr>
          <w:sz w:val="20"/>
          <w:szCs w:val="20"/>
        </w:rPr>
      </w:pPr>
      <w:r w:rsidRPr="00B03D7F">
        <w:rPr>
          <w:rStyle w:val="Refdenotaalpie"/>
          <w:sz w:val="20"/>
          <w:szCs w:val="20"/>
        </w:rPr>
        <w:footnoteRef/>
      </w:r>
      <w:r w:rsidR="009D580B" w:rsidRPr="00B03D7F">
        <w:rPr>
          <w:sz w:val="20"/>
          <w:szCs w:val="20"/>
        </w:rPr>
        <w:t>“</w:t>
      </w:r>
      <w:r w:rsidR="008C73D4" w:rsidRPr="00B03D7F">
        <w:rPr>
          <w:sz w:val="20"/>
          <w:szCs w:val="20"/>
        </w:rPr>
        <w:t>Artículo</w:t>
      </w:r>
      <w:r w:rsidRPr="00B03D7F">
        <w:rPr>
          <w:sz w:val="20"/>
          <w:szCs w:val="20"/>
        </w:rPr>
        <w:t xml:space="preserve"> 52. </w:t>
      </w:r>
    </w:p>
    <w:p w14:paraId="21BE7887" w14:textId="44AC372C" w:rsidR="00C468E8" w:rsidRPr="00B03D7F" w:rsidRDefault="00C468E8" w:rsidP="003419F0">
      <w:pPr>
        <w:pStyle w:val="Footnote"/>
        <w:rPr>
          <w:sz w:val="20"/>
          <w:szCs w:val="20"/>
        </w:rPr>
      </w:pPr>
      <w:r w:rsidRPr="00B03D7F">
        <w:rPr>
          <w:sz w:val="20"/>
          <w:szCs w:val="20"/>
        </w:rPr>
        <w:t xml:space="preserve">1. Para que un partido </w:t>
      </w:r>
      <w:r w:rsidR="008C73D4" w:rsidRPr="00B03D7F">
        <w:rPr>
          <w:sz w:val="20"/>
          <w:szCs w:val="20"/>
        </w:rPr>
        <w:t>político</w:t>
      </w:r>
      <w:r w:rsidRPr="00B03D7F">
        <w:rPr>
          <w:sz w:val="20"/>
          <w:szCs w:val="20"/>
        </w:rPr>
        <w:t xml:space="preserve"> nacional cuente con recursos </w:t>
      </w:r>
      <w:r w:rsidR="008C73D4" w:rsidRPr="00B03D7F">
        <w:rPr>
          <w:sz w:val="20"/>
          <w:szCs w:val="20"/>
        </w:rPr>
        <w:t>públicos</w:t>
      </w:r>
      <w:r w:rsidRPr="00B03D7F">
        <w:rPr>
          <w:sz w:val="20"/>
          <w:szCs w:val="20"/>
        </w:rPr>
        <w:t xml:space="preserve"> locales </w:t>
      </w:r>
      <w:r w:rsidR="008C73D4" w:rsidRPr="00B03D7F">
        <w:rPr>
          <w:sz w:val="20"/>
          <w:szCs w:val="20"/>
        </w:rPr>
        <w:t>deberá</w:t>
      </w:r>
      <w:r w:rsidRPr="00B03D7F">
        <w:rPr>
          <w:sz w:val="20"/>
          <w:szCs w:val="20"/>
        </w:rPr>
        <w:t xml:space="preserve">́ haber obtenido el tres por ciento de la </w:t>
      </w:r>
      <w:r w:rsidR="008C73D4" w:rsidRPr="00B03D7F">
        <w:rPr>
          <w:sz w:val="20"/>
          <w:szCs w:val="20"/>
        </w:rPr>
        <w:t>votación</w:t>
      </w:r>
      <w:r w:rsidRPr="00B03D7F">
        <w:rPr>
          <w:sz w:val="20"/>
          <w:szCs w:val="20"/>
        </w:rPr>
        <w:t xml:space="preserve"> </w:t>
      </w:r>
      <w:r w:rsidR="008C73D4" w:rsidRPr="00B03D7F">
        <w:rPr>
          <w:sz w:val="20"/>
          <w:szCs w:val="20"/>
        </w:rPr>
        <w:t>válida</w:t>
      </w:r>
      <w:r w:rsidRPr="00B03D7F">
        <w:rPr>
          <w:sz w:val="20"/>
          <w:szCs w:val="20"/>
        </w:rPr>
        <w:t xml:space="preserve"> emitida en el proceso electoral local anterior en la entidad federativa de que se trate. </w:t>
      </w:r>
    </w:p>
    <w:p w14:paraId="2322A77D" w14:textId="41802055" w:rsidR="00C468E8" w:rsidRPr="00B03D7F" w:rsidRDefault="00C468E8" w:rsidP="003419F0">
      <w:pPr>
        <w:pStyle w:val="Footnote"/>
        <w:rPr>
          <w:sz w:val="20"/>
          <w:szCs w:val="20"/>
        </w:rPr>
      </w:pPr>
      <w:r w:rsidRPr="00B03D7F">
        <w:rPr>
          <w:sz w:val="20"/>
          <w:szCs w:val="20"/>
        </w:rPr>
        <w:t xml:space="preserve">2. Las reglas que determinen el financiamiento local de los partidos que cumplan con lo previsto en el </w:t>
      </w:r>
      <w:r w:rsidR="008C73D4" w:rsidRPr="00B03D7F">
        <w:rPr>
          <w:sz w:val="20"/>
          <w:szCs w:val="20"/>
        </w:rPr>
        <w:t>párrafo</w:t>
      </w:r>
      <w:r w:rsidRPr="00B03D7F">
        <w:rPr>
          <w:sz w:val="20"/>
          <w:szCs w:val="20"/>
        </w:rPr>
        <w:t xml:space="preserve"> anterior se </w:t>
      </w:r>
      <w:r w:rsidR="008C73D4" w:rsidRPr="00B03D7F">
        <w:rPr>
          <w:sz w:val="20"/>
          <w:szCs w:val="20"/>
        </w:rPr>
        <w:t>establecerán</w:t>
      </w:r>
      <w:r w:rsidRPr="00B03D7F">
        <w:rPr>
          <w:sz w:val="20"/>
          <w:szCs w:val="20"/>
        </w:rPr>
        <w:t xml:space="preserve"> en las legislaciones locales respectivas</w:t>
      </w:r>
      <w:r w:rsidR="009D580B" w:rsidRPr="00B03D7F">
        <w:rPr>
          <w:sz w:val="20"/>
          <w:szCs w:val="20"/>
        </w:rPr>
        <w:t>”.</w:t>
      </w:r>
      <w:r w:rsidRPr="00B03D7F">
        <w:rPr>
          <w:sz w:val="20"/>
          <w:szCs w:val="20"/>
        </w:rPr>
        <w:t xml:space="preserve"> </w:t>
      </w:r>
    </w:p>
  </w:footnote>
  <w:footnote w:id="56">
    <w:p w14:paraId="699E4337" w14:textId="5EB37406" w:rsidR="00F91D36" w:rsidRPr="00B03D7F" w:rsidRDefault="00F91D36" w:rsidP="00F91D36">
      <w:pPr>
        <w:pStyle w:val="Footnote"/>
        <w:rPr>
          <w:sz w:val="20"/>
          <w:szCs w:val="20"/>
        </w:rPr>
      </w:pPr>
      <w:r w:rsidRPr="00B03D7F">
        <w:rPr>
          <w:rStyle w:val="Refdenotaalpie"/>
          <w:sz w:val="20"/>
          <w:szCs w:val="20"/>
        </w:rPr>
        <w:footnoteRef/>
      </w:r>
      <w:r w:rsidRPr="00B03D7F">
        <w:rPr>
          <w:sz w:val="20"/>
          <w:szCs w:val="20"/>
        </w:rPr>
        <w:t xml:space="preserve"> </w:t>
      </w:r>
      <w:r w:rsidR="00F0620F">
        <w:rPr>
          <w:sz w:val="20"/>
          <w:szCs w:val="20"/>
        </w:rPr>
        <w:t xml:space="preserve">Sentencia recaída a la </w:t>
      </w:r>
      <w:r w:rsidR="00327070">
        <w:rPr>
          <w:sz w:val="20"/>
          <w:szCs w:val="20"/>
        </w:rPr>
        <w:t>a</w:t>
      </w:r>
      <w:r w:rsidR="00625A5F" w:rsidRPr="00B03D7F">
        <w:rPr>
          <w:sz w:val="20"/>
          <w:szCs w:val="20"/>
        </w:rPr>
        <w:t xml:space="preserve">cción </w:t>
      </w:r>
      <w:r w:rsidRPr="00B03D7F">
        <w:rPr>
          <w:sz w:val="20"/>
          <w:szCs w:val="20"/>
        </w:rPr>
        <w:t xml:space="preserve">de </w:t>
      </w:r>
      <w:r w:rsidR="00327070">
        <w:rPr>
          <w:sz w:val="20"/>
          <w:szCs w:val="20"/>
        </w:rPr>
        <w:t>i</w:t>
      </w:r>
      <w:r w:rsidR="00625A5F" w:rsidRPr="00B03D7F">
        <w:rPr>
          <w:sz w:val="20"/>
          <w:szCs w:val="20"/>
        </w:rPr>
        <w:t xml:space="preserve">nconstitucionalidad </w:t>
      </w:r>
      <w:r w:rsidRPr="00B03D7F">
        <w:rPr>
          <w:sz w:val="20"/>
          <w:szCs w:val="20"/>
        </w:rPr>
        <w:t>176/2021 y su acumulada</w:t>
      </w:r>
      <w:r w:rsidR="00327070">
        <w:rPr>
          <w:sz w:val="20"/>
          <w:szCs w:val="20"/>
        </w:rPr>
        <w:t xml:space="preserve"> 177/2021</w:t>
      </w:r>
      <w:r w:rsidRPr="00B03D7F">
        <w:rPr>
          <w:sz w:val="20"/>
          <w:szCs w:val="20"/>
        </w:rPr>
        <w:t xml:space="preserve">, </w:t>
      </w:r>
      <w:r w:rsidR="00F0620F">
        <w:rPr>
          <w:sz w:val="20"/>
          <w:szCs w:val="20"/>
        </w:rPr>
        <w:t xml:space="preserve">Pleno de la Suprema Corte de Justicia de la Nación, Ponente: </w:t>
      </w:r>
      <w:r w:rsidR="00F0620F">
        <w:rPr>
          <w:sz w:val="20"/>
          <w:szCs w:val="20"/>
        </w:rPr>
        <w:t>Ministro Juan Luis González Alcántara Carrancá, 21 de febrero de 2022</w:t>
      </w:r>
      <w:r w:rsidRPr="00B03D7F">
        <w:rPr>
          <w:sz w:val="20"/>
          <w:szCs w:val="20"/>
        </w:rPr>
        <w:t xml:space="preserve">. En ella se recoge la acción de inconstitucionalidad 269/2020 y sus acumuladas 270/2020 y 271/2020, resueltas por el Pleno en la sesión de siete de diciembre de dos mil veinte y la acción de inconstitucionalidad 100/2018 y sus acumuladas 102/2018, 103/2018 y 104/2018, resueltas por el Pleno en la sesión de </w:t>
      </w:r>
      <w:r w:rsidR="0095017F">
        <w:rPr>
          <w:sz w:val="20"/>
          <w:szCs w:val="20"/>
        </w:rPr>
        <w:t>5</w:t>
      </w:r>
      <w:r w:rsidRPr="00B03D7F">
        <w:rPr>
          <w:sz w:val="20"/>
          <w:szCs w:val="20"/>
        </w:rPr>
        <w:t xml:space="preserve"> de septiembre de </w:t>
      </w:r>
      <w:r w:rsidR="0095017F">
        <w:rPr>
          <w:sz w:val="20"/>
          <w:szCs w:val="20"/>
        </w:rPr>
        <w:t>2019</w:t>
      </w:r>
      <w:r w:rsidRPr="00B03D7F">
        <w:rPr>
          <w:sz w:val="20"/>
          <w:szCs w:val="20"/>
        </w:rPr>
        <w:t>, donde se invocó lo resuelto en las acciones de inconstitucionalidad 5/2015; 76/2016 y sus acumuladas 79/2016, 80/2016 y 81/2016; 97/2016 y su acumulada 98/2016; 38/2017 y sus acumuladas 39/2017 y 60/2017; 50/2017, y 78/2017 y su acumulada 79/2017.</w:t>
      </w:r>
    </w:p>
  </w:footnote>
  <w:footnote w:id="57">
    <w:p w14:paraId="3CEAAA0E" w14:textId="37272ECC" w:rsidR="009D580B" w:rsidRPr="00B03D7F" w:rsidRDefault="009D580B" w:rsidP="003419F0">
      <w:pPr>
        <w:pStyle w:val="Textonotapie"/>
      </w:pPr>
      <w:r w:rsidRPr="00B03D7F">
        <w:rPr>
          <w:rStyle w:val="Refdenotaalpie"/>
        </w:rPr>
        <w:footnoteRef/>
      </w:r>
      <w:r w:rsidRPr="00B03D7F">
        <w:t xml:space="preserve">   “Artículo 50 […]</w:t>
      </w:r>
    </w:p>
    <w:p w14:paraId="118AC1F7" w14:textId="77777777" w:rsidR="009D580B" w:rsidRPr="00B03D7F" w:rsidRDefault="009D580B" w:rsidP="003419F0">
      <w:pPr>
        <w:pStyle w:val="Textonotapie"/>
      </w:pPr>
      <w:r w:rsidRPr="00B03D7F">
        <w:t>A […]</w:t>
      </w:r>
    </w:p>
    <w:p w14:paraId="197B8FBC" w14:textId="133FE345" w:rsidR="009D580B" w:rsidRPr="00B03D7F" w:rsidRDefault="009D580B" w:rsidP="003419F0">
      <w:pPr>
        <w:pStyle w:val="Textonotapie"/>
      </w:pPr>
      <w:r w:rsidRPr="00B03D7F">
        <w:t xml:space="preserve">I. El financiamiento público para el sostenimiento de las actividades ordinarias permanentes de los partidos políticos locales, se fijará anualmente en los términos establecidos por la Ley General de Partidos Políticos. </w:t>
      </w:r>
      <w:r w:rsidRPr="00B03D7F">
        <w:rPr>
          <w:u w:val="single"/>
        </w:rPr>
        <w:t xml:space="preserve">El financiamiento público para el sostenimiento de las actividades ordinarias permanentes de los partidos políticos nacionales se fijará anualmente, multiplicando el número total de ciudadanos inscritos en el padrón electoral del Estado a la fecha de corte de julio de cada año, por el treinta y </w:t>
      </w:r>
      <w:r w:rsidRPr="00B03D7F">
        <w:rPr>
          <w:u w:val="single"/>
        </w:rPr>
        <w:t>dos punto cinco por ciento (32.5%) del valor diario de la Unidad de Medida y Actualización vigente</w:t>
      </w:r>
      <w:r w:rsidRPr="00B03D7F">
        <w:t xml:space="preserve"> […]”.</w:t>
      </w:r>
    </w:p>
  </w:footnote>
  <w:footnote w:id="58">
    <w:p w14:paraId="0E5631D6" w14:textId="5FE40327" w:rsidR="003C3748" w:rsidRPr="00B03D7F" w:rsidRDefault="003C3748" w:rsidP="003419F0">
      <w:pPr>
        <w:pStyle w:val="Footnote"/>
        <w:rPr>
          <w:sz w:val="20"/>
          <w:szCs w:val="20"/>
          <w:lang w:val="es-ES_tradnl"/>
        </w:rPr>
      </w:pPr>
      <w:r w:rsidRPr="00B03D7F">
        <w:rPr>
          <w:rStyle w:val="Refdenotaalpie"/>
          <w:sz w:val="20"/>
          <w:szCs w:val="20"/>
        </w:rPr>
        <w:footnoteRef/>
      </w:r>
      <w:r w:rsidRPr="00B03D7F">
        <w:rPr>
          <w:sz w:val="20"/>
          <w:szCs w:val="20"/>
        </w:rPr>
        <w:t xml:space="preserve"> </w:t>
      </w:r>
      <w:r w:rsidR="00F0620F">
        <w:rPr>
          <w:sz w:val="20"/>
          <w:szCs w:val="20"/>
        </w:rPr>
        <w:t xml:space="preserve">Sentencia recaída a la </w:t>
      </w:r>
      <w:r w:rsidR="00B35D83">
        <w:rPr>
          <w:sz w:val="20"/>
          <w:szCs w:val="20"/>
          <w:lang w:val="es-ES_tradnl"/>
        </w:rPr>
        <w:t>a</w:t>
      </w:r>
      <w:r w:rsidR="00E30B95" w:rsidRPr="00B03D7F">
        <w:rPr>
          <w:sz w:val="20"/>
          <w:szCs w:val="20"/>
          <w:lang w:val="es-ES_tradnl"/>
        </w:rPr>
        <w:t xml:space="preserve">cción de </w:t>
      </w:r>
      <w:r w:rsidR="00B35D83">
        <w:rPr>
          <w:sz w:val="20"/>
          <w:szCs w:val="20"/>
          <w:lang w:val="es-ES_tradnl"/>
        </w:rPr>
        <w:t>i</w:t>
      </w:r>
      <w:r w:rsidR="00E30B95" w:rsidRPr="00B03D7F">
        <w:rPr>
          <w:sz w:val="20"/>
          <w:szCs w:val="20"/>
          <w:lang w:val="es-ES_tradnl"/>
        </w:rPr>
        <w:t xml:space="preserve">nconstitucionalidad 100/2018 y sus acumuladas 102/2018, 103/2018 y 104/2018, </w:t>
      </w:r>
      <w:r w:rsidR="00F0620F">
        <w:rPr>
          <w:sz w:val="20"/>
          <w:szCs w:val="20"/>
          <w:lang w:val="es-ES_tradnl"/>
        </w:rPr>
        <w:t xml:space="preserve">Pleno de la Suprema Corte de Justicia de la Nación, Ponente: </w:t>
      </w:r>
      <w:r w:rsidR="00F0620F">
        <w:rPr>
          <w:sz w:val="20"/>
          <w:szCs w:val="20"/>
          <w:lang w:val="es-ES_tradnl"/>
        </w:rPr>
        <w:t>Ministro Alfredo Gutiérrez Ortiz Mena, 5 de septiembre de 2019.</w:t>
      </w:r>
    </w:p>
  </w:footnote>
  <w:footnote w:id="59">
    <w:p w14:paraId="7D61FF1B" w14:textId="3AE66D4D" w:rsidR="00136873" w:rsidRDefault="00136873">
      <w:pPr>
        <w:pStyle w:val="Textonotapie"/>
      </w:pPr>
      <w:r>
        <w:rPr>
          <w:rStyle w:val="Refdenotaalpie"/>
        </w:rPr>
        <w:footnoteRef/>
      </w:r>
      <w:r>
        <w:t xml:space="preserve"> </w:t>
      </w:r>
      <w:r w:rsidRPr="00136873">
        <w:t>Lo anterior encuentra su apoyo en la jurisprudencia P./J. 123/2001, de rubro: “RETROACTIVIDAD DE LAS LEYES. SU DETERMINACIÓN CONFORME A LA TEORÍA DE LOS COMPONENTES DE LA NORMA”</w:t>
      </w:r>
      <w:r w:rsidR="00BC768E">
        <w:t>, Novena Época, Tomo XIV, Octubre de 2001, página 16, registro digital</w:t>
      </w:r>
      <w:r w:rsidRPr="00136873">
        <w:t>: 188508</w:t>
      </w:r>
      <w:r>
        <w:t>.</w:t>
      </w:r>
    </w:p>
  </w:footnote>
  <w:footnote w:id="60">
    <w:p w14:paraId="682A9E39" w14:textId="1EC3A8E7" w:rsidR="005C6D8B" w:rsidRDefault="005C6D8B" w:rsidP="005C6D8B">
      <w:pPr>
        <w:pStyle w:val="Textonotapie"/>
      </w:pPr>
      <w:r>
        <w:rPr>
          <w:rStyle w:val="Refdenotaalpie"/>
        </w:rPr>
        <w:footnoteRef/>
      </w:r>
      <w:r w:rsidRPr="00571DD1">
        <w:rPr>
          <w:sz w:val="22"/>
          <w:szCs w:val="22"/>
        </w:rPr>
        <w:t xml:space="preserve"> </w:t>
      </w:r>
      <w:r w:rsidRPr="00BC768E">
        <w:t xml:space="preserve">Véase </w:t>
      </w:r>
      <w:r w:rsidR="00BC768E">
        <w:t>la sentencia recaída a la</w:t>
      </w:r>
      <w:r w:rsidRPr="00BC768E">
        <w:t xml:space="preserve"> </w:t>
      </w:r>
      <w:r w:rsidR="007470E9">
        <w:t>a</w:t>
      </w:r>
      <w:r w:rsidRPr="00BC768E">
        <w:t xml:space="preserve">cción de </w:t>
      </w:r>
      <w:r w:rsidR="007470E9">
        <w:t>i</w:t>
      </w:r>
      <w:r w:rsidRPr="00BC768E">
        <w:t xml:space="preserve">nconstitucionalidad 61/2008, Pleno de la Suprema Corte de Justicia de la Nación, </w:t>
      </w:r>
      <w:r w:rsidR="00BC768E">
        <w:t xml:space="preserve">Ponente: </w:t>
      </w:r>
      <w:r w:rsidR="00BC768E">
        <w:t>Ministro José Fernando Franco González Salas, 8 de julio de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7AC6" w14:textId="05A6B830" w:rsidR="00B45773" w:rsidRDefault="00685714" w:rsidP="00685714">
    <w:pPr>
      <w:pStyle w:val="Encabezado"/>
      <w:tabs>
        <w:tab w:val="clear" w:pos="4419"/>
        <w:tab w:val="clear" w:pos="8838"/>
        <w:tab w:val="left" w:pos="3550"/>
      </w:tabs>
      <w:ind w:left="3402"/>
    </w:pPr>
    <w:r w:rsidRPr="000A1DA6">
      <w:rPr>
        <w:b/>
        <w:bCs/>
        <w:sz w:val="22"/>
        <w:szCs w:val="22"/>
      </w:rPr>
      <w:t>ACCIÓN DE INCONSTITUCIONALIDAD 3/2022 Y SUS ACUMULADAS 8/2022, 10/2022, 16/2022 Y 17/2022</w:t>
    </w:r>
    <w:r w:rsidR="00B4577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7FCE" w14:textId="275C5427" w:rsidR="00D2713C" w:rsidRPr="008C5D54" w:rsidRDefault="00D2713C" w:rsidP="006203C9">
    <w:pPr>
      <w:pStyle w:val="Encabezado"/>
      <w:spacing w:before="0" w:after="0"/>
      <w:rPr>
        <w:bCs/>
        <w:sz w:val="24"/>
        <w:szCs w:val="24"/>
      </w:rPr>
    </w:pPr>
    <w:r>
      <w:rPr>
        <w:noProof/>
        <w:sz w:val="22"/>
        <w:szCs w:val="22"/>
      </w:rPr>
      <mc:AlternateContent>
        <mc:Choice Requires="wps">
          <w:drawing>
            <wp:anchor distT="0" distB="0" distL="114300" distR="114300" simplePos="0" relativeHeight="251669504" behindDoc="1" locked="0" layoutInCell="1" allowOverlap="1" wp14:anchorId="3D618B2D" wp14:editId="622510D1">
              <wp:simplePos x="0" y="0"/>
              <wp:positionH relativeFrom="page">
                <wp:posOffset>3018155</wp:posOffset>
              </wp:positionH>
              <wp:positionV relativeFrom="page">
                <wp:posOffset>1202055</wp:posOffset>
              </wp:positionV>
              <wp:extent cx="3454400" cy="376767"/>
              <wp:effectExtent l="0" t="0" r="1270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376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BF59D" w14:textId="77777777" w:rsidR="00237493" w:rsidRPr="000A1DA6" w:rsidRDefault="00237493" w:rsidP="00237493">
                          <w:pPr>
                            <w:pStyle w:val="Encabezado"/>
                            <w:spacing w:before="0" w:after="0"/>
                            <w:rPr>
                              <w:b/>
                              <w:bCs/>
                              <w:sz w:val="20"/>
                              <w:szCs w:val="20"/>
                            </w:rPr>
                          </w:pPr>
                          <w:r w:rsidRPr="000A1DA6">
                            <w:rPr>
                              <w:b/>
                              <w:bCs/>
                              <w:sz w:val="22"/>
                              <w:szCs w:val="22"/>
                            </w:rPr>
                            <w:t xml:space="preserve">ACCIÓN DE INCONSTITUCIONALIDAD 3/2022 Y SUS ACUMULADAS 8/2022, 10/2022, 16/2022 Y 17/2022 </w:t>
                          </w:r>
                        </w:p>
                        <w:p w14:paraId="08FF9D8D" w14:textId="77777777" w:rsidR="00D2713C" w:rsidRDefault="00D2713C" w:rsidP="000A1DA6">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18B2D" id="_x0000_t202" coordsize="21600,21600" o:spt="202" path="m,l,21600r21600,l21600,xe">
              <v:stroke joinstyle="miter"/>
              <v:path gradientshapeok="t" o:connecttype="rect"/>
            </v:shapetype>
            <v:shape id="Cuadro de texto 2" o:spid="_x0000_s1027" type="#_x0000_t202" style="position:absolute;left:0;text-align:left;margin-left:237.65pt;margin-top:94.65pt;width:272pt;height:29.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" filled="f" stroked="f">
              <v:textbox inset="0,0,0,0">
                <w:txbxContent>
                  <w:p w14:paraId="247BF59D" w14:textId="77777777" w:rsidR="00237493" w:rsidRPr="000A1DA6" w:rsidRDefault="00237493" w:rsidP="00237493">
                    <w:pPr>
                      <w:pStyle w:val="Encabezado"/>
                      <w:spacing w:before="0" w:after="0"/>
                      <w:rPr>
                        <w:b/>
                        <w:bCs/>
                        <w:sz w:val="20"/>
                        <w:szCs w:val="20"/>
                      </w:rPr>
                    </w:pPr>
                    <w:r w:rsidRPr="000A1DA6">
                      <w:rPr>
                        <w:b/>
                        <w:bCs/>
                        <w:sz w:val="22"/>
                        <w:szCs w:val="22"/>
                      </w:rPr>
                      <w:t xml:space="preserve">ACCIÓN DE INCONSTITUCIONALIDAD 3/2022 Y SUS ACUMULADAS 8/2022, 10/2022, 16/2022 Y 17/2022 </w:t>
                    </w:r>
                  </w:p>
                  <w:p w14:paraId="08FF9D8D" w14:textId="77777777" w:rsidR="00D2713C" w:rsidRDefault="00D2713C" w:rsidP="000A1DA6">
                    <w:pPr>
                      <w:spacing w:before="12"/>
                      <w:ind w:left="20"/>
                      <w:rPr>
                        <w:b/>
                        <w:sz w:val="24"/>
                      </w:rPr>
                    </w:pPr>
                  </w:p>
                </w:txbxContent>
              </v:textbox>
              <w10:wrap anchorx="page" anchory="page"/>
            </v:shape>
          </w:pict>
        </mc:Fallback>
      </mc:AlternateContent>
    </w:r>
  </w:p>
  <w:p w14:paraId="461DDCB9" w14:textId="77777777" w:rsidR="00D2713C" w:rsidRPr="00C43431" w:rsidRDefault="00D2713C" w:rsidP="000726AD">
    <w:pPr>
      <w:pStyle w:val="Encabezado"/>
      <w:jc w:val="center"/>
      <w:rPr>
        <w:b/>
        <w:sz w:val="24"/>
        <w:szCs w:val="24"/>
      </w:rPr>
    </w:pPr>
  </w:p>
  <w:p w14:paraId="02A98BB7" w14:textId="77777777" w:rsidR="00D2713C" w:rsidRDefault="00D271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75ACA5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7A0FC0"/>
    <w:multiLevelType w:val="hybridMultilevel"/>
    <w:tmpl w:val="E07203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6AC3293"/>
    <w:multiLevelType w:val="hybridMultilevel"/>
    <w:tmpl w:val="BF4C42E4"/>
    <w:lvl w:ilvl="0" w:tplc="6AF6FD3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30332"/>
    <w:multiLevelType w:val="hybridMultilevel"/>
    <w:tmpl w:val="DE1A21B6"/>
    <w:lvl w:ilvl="0" w:tplc="09E04558">
      <w:start w:val="1"/>
      <w:numFmt w:val="decimal"/>
      <w:lvlText w:val="%1."/>
      <w:lvlJc w:val="left"/>
      <w:pPr>
        <w:ind w:left="720" w:hanging="360"/>
      </w:pPr>
      <w:rPr>
        <w:rFonts w:ascii="Arial" w:hAnsi="Arial" w:cs="Arial" w:hint="default"/>
        <w:b/>
        <w:bCs/>
        <w:color w:val="auto"/>
        <w:sz w:val="26"/>
        <w:szCs w:val="2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F6701"/>
    <w:multiLevelType w:val="hybridMultilevel"/>
    <w:tmpl w:val="E37C8C58"/>
    <w:lvl w:ilvl="0" w:tplc="0434B3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71401B7"/>
    <w:multiLevelType w:val="hybridMultilevel"/>
    <w:tmpl w:val="FA10E9C8"/>
    <w:lvl w:ilvl="0" w:tplc="4F4A50C8">
      <w:start w:val="1"/>
      <w:numFmt w:val="decimal"/>
      <w:lvlText w:val="%1."/>
      <w:lvlJc w:val="left"/>
      <w:pPr>
        <w:ind w:left="2771" w:hanging="360"/>
      </w:pPr>
      <w:rPr>
        <w:rFonts w:ascii="Arial" w:hAnsi="Arial" w:cs="Arial" w:hint="default"/>
        <w:b/>
        <w:i w:val="0"/>
        <w:strike w:val="0"/>
        <w:color w:val="auto"/>
        <w:sz w:val="28"/>
        <w:szCs w:val="28"/>
      </w:rPr>
    </w:lvl>
    <w:lvl w:ilvl="1" w:tplc="61D20D84">
      <w:start w:val="1"/>
      <w:numFmt w:val="upperRoman"/>
      <w:lvlText w:val="%2."/>
      <w:lvlJc w:val="left"/>
      <w:pPr>
        <w:ind w:left="1800" w:hanging="720"/>
      </w:pPr>
      <w:rPr>
        <w:rFonts w:ascii="Arial" w:hAnsi="Arial" w:cs="Arial" w:hint="default"/>
        <w:b w:val="0"/>
        <w:bCs/>
      </w:rPr>
    </w:lvl>
    <w:lvl w:ilvl="2" w:tplc="080A001B">
      <w:start w:val="1"/>
      <w:numFmt w:val="lowerRoman"/>
      <w:lvlText w:val="%3."/>
      <w:lvlJc w:val="right"/>
      <w:pPr>
        <w:ind w:left="2340" w:hanging="360"/>
      </w:pPr>
      <w:rPr>
        <w:rFonts w:hint="default"/>
        <w:b/>
        <w:i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64730B"/>
    <w:multiLevelType w:val="hybridMultilevel"/>
    <w:tmpl w:val="D9368688"/>
    <w:lvl w:ilvl="0" w:tplc="EBE44544">
      <w:start w:val="1"/>
      <w:numFmt w:val="upperRoman"/>
      <w:pStyle w:val="Ttulo1"/>
      <w:lvlText w:val="%1."/>
      <w:lvlJc w:val="right"/>
      <w:pPr>
        <w:ind w:left="1919" w:hanging="360"/>
      </w:pPr>
    </w:lvl>
    <w:lvl w:ilvl="1" w:tplc="080A0019">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7" w15:restartNumberingAfterBreak="0">
    <w:nsid w:val="29EE37B6"/>
    <w:multiLevelType w:val="hybridMultilevel"/>
    <w:tmpl w:val="A73EA89E"/>
    <w:lvl w:ilvl="0" w:tplc="89DC510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4D090C81"/>
    <w:multiLevelType w:val="hybridMultilevel"/>
    <w:tmpl w:val="892C019C"/>
    <w:lvl w:ilvl="0" w:tplc="37D40D38">
      <w:start w:val="2"/>
      <w:numFmt w:val="decimal"/>
      <w:pStyle w:val="Estilo1"/>
      <w:lvlText w:val="%1."/>
      <w:lvlJc w:val="left"/>
      <w:pPr>
        <w:ind w:left="720" w:hanging="360"/>
      </w:pPr>
      <w:rPr>
        <w:rFonts w:ascii="Arial" w:hAnsi="Arial" w:cs="Arial" w:hint="default"/>
        <w:b/>
        <w:bCs/>
        <w:i w:val="0"/>
        <w:iCs/>
        <w:sz w:val="26"/>
        <w:szCs w:val="2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D02302"/>
    <w:multiLevelType w:val="hybridMultilevel"/>
    <w:tmpl w:val="9FB08ECA"/>
    <w:lvl w:ilvl="0" w:tplc="030C40DA">
      <w:start w:val="1"/>
      <w:numFmt w:val="lowerLetter"/>
      <w:lvlText w:val="%1)"/>
      <w:lvlJc w:val="left"/>
      <w:pPr>
        <w:ind w:left="567" w:firstLine="0"/>
      </w:pPr>
      <w:rPr>
        <w:rFonts w:hint="default"/>
        <w:b/>
        <w:sz w:val="26"/>
        <w:szCs w:val="2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9B4340"/>
    <w:multiLevelType w:val="hybridMultilevel"/>
    <w:tmpl w:val="D5E67AB0"/>
    <w:lvl w:ilvl="0" w:tplc="282693CE">
      <w:start w:val="1"/>
      <w:numFmt w:val="decimal"/>
      <w:pStyle w:val="NormalNmerado"/>
      <w:lvlText w:val="%1."/>
      <w:lvlJc w:val="left"/>
      <w:pPr>
        <w:ind w:left="0" w:firstLine="0"/>
      </w:pPr>
      <w:rPr>
        <w:rFonts w:hint="default"/>
        <w:b/>
        <w:color w:val="auto"/>
        <w:sz w:val="24"/>
        <w:szCs w:val="24"/>
        <w:vertAlign w:val="baseline"/>
      </w:rPr>
    </w:lvl>
    <w:lvl w:ilvl="1" w:tplc="080A0013">
      <w:start w:val="1"/>
      <w:numFmt w:val="upperRoman"/>
      <w:lvlText w:val="%2."/>
      <w:lvlJc w:val="right"/>
      <w:pPr>
        <w:ind w:left="1500" w:hanging="420"/>
      </w:pPr>
      <w:rPr>
        <w:b/>
      </w:rPr>
    </w:lvl>
    <w:lvl w:ilvl="2" w:tplc="080A001B">
      <w:start w:val="1"/>
      <w:numFmt w:val="lowerRoman"/>
      <w:lvlText w:val="%3."/>
      <w:lvlJc w:val="right"/>
      <w:pPr>
        <w:ind w:left="2160" w:hanging="180"/>
      </w:pPr>
    </w:lvl>
    <w:lvl w:ilvl="3" w:tplc="8B9EAED4">
      <w:start w:val="1"/>
      <w:numFmt w:val="decimal"/>
      <w:lvlText w:val="%4."/>
      <w:lvlJc w:val="left"/>
      <w:pPr>
        <w:ind w:left="2880" w:hanging="36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E7035AB"/>
    <w:multiLevelType w:val="multilevel"/>
    <w:tmpl w:val="CA26A17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F940944"/>
    <w:multiLevelType w:val="hybridMultilevel"/>
    <w:tmpl w:val="324023EA"/>
    <w:lvl w:ilvl="0" w:tplc="03181D68">
      <w:start w:val="1"/>
      <w:numFmt w:val="decimal"/>
      <w:lvlText w:val="%1."/>
      <w:lvlJc w:val="left"/>
      <w:pPr>
        <w:ind w:left="360" w:hanging="360"/>
      </w:pPr>
      <w:rPr>
        <w:rFonts w:ascii="Arial" w:eastAsia="Times New Roman" w:hAnsi="Arial" w:cs="Arial" w:hint="default"/>
        <w:b/>
        <w:i w:val="0"/>
        <w:sz w:val="26"/>
      </w:rPr>
    </w:lvl>
    <w:lvl w:ilvl="1" w:tplc="080A0015">
      <w:start w:val="1"/>
      <w:numFmt w:val="upperLetter"/>
      <w:lvlText w:val="%2."/>
      <w:lvlJc w:val="left"/>
      <w:pPr>
        <w:ind w:left="654" w:hanging="360"/>
      </w:pPr>
      <w:rPr>
        <w:rFonts w:hint="default"/>
        <w:b w:val="0"/>
        <w:bCs w:val="0"/>
      </w:rPr>
    </w:lvl>
    <w:lvl w:ilvl="2" w:tplc="080A0003">
      <w:start w:val="1"/>
      <w:numFmt w:val="bullet"/>
      <w:lvlText w:val="o"/>
      <w:lvlJc w:val="left"/>
      <w:pPr>
        <w:ind w:left="1374" w:hanging="180"/>
      </w:pPr>
      <w:rPr>
        <w:rFonts w:ascii="Courier New" w:hAnsi="Courier New" w:cs="Courier New" w:hint="default"/>
      </w:rPr>
    </w:lvl>
    <w:lvl w:ilvl="3" w:tplc="080A0005">
      <w:start w:val="1"/>
      <w:numFmt w:val="bullet"/>
      <w:lvlText w:val=""/>
      <w:lvlJc w:val="left"/>
      <w:pPr>
        <w:ind w:left="2094" w:hanging="360"/>
      </w:pPr>
      <w:rPr>
        <w:rFonts w:ascii="Wingdings" w:hAnsi="Wingdings" w:hint="default"/>
      </w:rPr>
    </w:lvl>
    <w:lvl w:ilvl="4" w:tplc="6882DDDC">
      <w:start w:val="1"/>
      <w:numFmt w:val="decimal"/>
      <w:lvlText w:val="%5)"/>
      <w:lvlJc w:val="left"/>
      <w:pPr>
        <w:ind w:left="2814" w:hanging="360"/>
      </w:pPr>
      <w:rPr>
        <w:rFonts w:hint="default"/>
      </w:r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3" w15:restartNumberingAfterBreak="0">
    <w:nsid w:val="62687C05"/>
    <w:multiLevelType w:val="hybridMultilevel"/>
    <w:tmpl w:val="A8E4AED6"/>
    <w:lvl w:ilvl="0" w:tplc="ECECBBD8">
      <w:start w:val="1"/>
      <w:numFmt w:val="decimal"/>
      <w:lvlText w:val="%1."/>
      <w:lvlJc w:val="left"/>
      <w:pPr>
        <w:ind w:left="567" w:firstLine="0"/>
      </w:pPr>
      <w:rPr>
        <w:rFonts w:ascii="Arial" w:hAnsi="Arial" w:cs="Arial" w:hint="default"/>
        <w:b/>
        <w:sz w:val="26"/>
        <w:szCs w:val="26"/>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897DA1"/>
    <w:multiLevelType w:val="hybridMultilevel"/>
    <w:tmpl w:val="ACAA7B6A"/>
    <w:lvl w:ilvl="0" w:tplc="35C4EF32">
      <w:start w:val="1"/>
      <w:numFmt w:val="lowerLetter"/>
      <w:lvlText w:val="%1."/>
      <w:lvlJc w:val="left"/>
      <w:pPr>
        <w:ind w:left="1220" w:hanging="248"/>
      </w:pPr>
      <w:rPr>
        <w:rFonts w:ascii="Arial" w:eastAsia="Arial" w:hAnsi="Arial" w:cs="Arial" w:hint="default"/>
        <w:b/>
        <w:bCs/>
        <w:spacing w:val="-1"/>
        <w:w w:val="100"/>
        <w:sz w:val="22"/>
        <w:szCs w:val="22"/>
        <w:lang w:val="es-MX" w:eastAsia="es-MX" w:bidi="es-MX"/>
      </w:rPr>
    </w:lvl>
    <w:lvl w:ilvl="1" w:tplc="DF043B7C">
      <w:numFmt w:val="bullet"/>
      <w:lvlText w:val="•"/>
      <w:lvlJc w:val="left"/>
      <w:pPr>
        <w:ind w:left="2074" w:hanging="248"/>
      </w:pPr>
      <w:rPr>
        <w:rFonts w:hint="default"/>
        <w:lang w:val="es-MX" w:eastAsia="es-MX" w:bidi="es-MX"/>
      </w:rPr>
    </w:lvl>
    <w:lvl w:ilvl="2" w:tplc="4D2C07B0">
      <w:numFmt w:val="bullet"/>
      <w:lvlText w:val="•"/>
      <w:lvlJc w:val="left"/>
      <w:pPr>
        <w:ind w:left="2928" w:hanging="248"/>
      </w:pPr>
      <w:rPr>
        <w:rFonts w:hint="default"/>
        <w:lang w:val="es-MX" w:eastAsia="es-MX" w:bidi="es-MX"/>
      </w:rPr>
    </w:lvl>
    <w:lvl w:ilvl="3" w:tplc="3CBC49FA">
      <w:numFmt w:val="bullet"/>
      <w:lvlText w:val="•"/>
      <w:lvlJc w:val="left"/>
      <w:pPr>
        <w:ind w:left="3782" w:hanging="248"/>
      </w:pPr>
      <w:rPr>
        <w:rFonts w:hint="default"/>
        <w:lang w:val="es-MX" w:eastAsia="es-MX" w:bidi="es-MX"/>
      </w:rPr>
    </w:lvl>
    <w:lvl w:ilvl="4" w:tplc="85769D28">
      <w:numFmt w:val="bullet"/>
      <w:lvlText w:val="•"/>
      <w:lvlJc w:val="left"/>
      <w:pPr>
        <w:ind w:left="4636" w:hanging="248"/>
      </w:pPr>
      <w:rPr>
        <w:rFonts w:hint="default"/>
        <w:lang w:val="es-MX" w:eastAsia="es-MX" w:bidi="es-MX"/>
      </w:rPr>
    </w:lvl>
    <w:lvl w:ilvl="5" w:tplc="7526928C">
      <w:numFmt w:val="bullet"/>
      <w:lvlText w:val="•"/>
      <w:lvlJc w:val="left"/>
      <w:pPr>
        <w:ind w:left="5490" w:hanging="248"/>
      </w:pPr>
      <w:rPr>
        <w:rFonts w:hint="default"/>
        <w:lang w:val="es-MX" w:eastAsia="es-MX" w:bidi="es-MX"/>
      </w:rPr>
    </w:lvl>
    <w:lvl w:ilvl="6" w:tplc="87EE47B8">
      <w:numFmt w:val="bullet"/>
      <w:lvlText w:val="•"/>
      <w:lvlJc w:val="left"/>
      <w:pPr>
        <w:ind w:left="6344" w:hanging="248"/>
      </w:pPr>
      <w:rPr>
        <w:rFonts w:hint="default"/>
        <w:lang w:val="es-MX" w:eastAsia="es-MX" w:bidi="es-MX"/>
      </w:rPr>
    </w:lvl>
    <w:lvl w:ilvl="7" w:tplc="E340C018">
      <w:numFmt w:val="bullet"/>
      <w:lvlText w:val="•"/>
      <w:lvlJc w:val="left"/>
      <w:pPr>
        <w:ind w:left="7198" w:hanging="248"/>
      </w:pPr>
      <w:rPr>
        <w:rFonts w:hint="default"/>
        <w:lang w:val="es-MX" w:eastAsia="es-MX" w:bidi="es-MX"/>
      </w:rPr>
    </w:lvl>
    <w:lvl w:ilvl="8" w:tplc="DB969D44">
      <w:numFmt w:val="bullet"/>
      <w:lvlText w:val="•"/>
      <w:lvlJc w:val="left"/>
      <w:pPr>
        <w:ind w:left="8052" w:hanging="248"/>
      </w:pPr>
      <w:rPr>
        <w:rFonts w:hint="default"/>
        <w:lang w:val="es-MX" w:eastAsia="es-MX" w:bidi="es-MX"/>
      </w:rPr>
    </w:lvl>
  </w:abstractNum>
  <w:abstractNum w:abstractNumId="15" w15:restartNumberingAfterBreak="0">
    <w:nsid w:val="7DD070A0"/>
    <w:multiLevelType w:val="hybridMultilevel"/>
    <w:tmpl w:val="C06C7B58"/>
    <w:lvl w:ilvl="0" w:tplc="59020604">
      <w:start w:val="1"/>
      <w:numFmt w:val="lowerLetter"/>
      <w:pStyle w:val="Incisos-agravios"/>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06660795">
    <w:abstractNumId w:val="6"/>
  </w:num>
  <w:num w:numId="2" w16cid:durableId="2119327607">
    <w:abstractNumId w:val="15"/>
  </w:num>
  <w:num w:numId="3" w16cid:durableId="1742950254">
    <w:abstractNumId w:val="8"/>
  </w:num>
  <w:num w:numId="4" w16cid:durableId="191580278">
    <w:abstractNumId w:val="7"/>
  </w:num>
  <w:num w:numId="5" w16cid:durableId="1577398537">
    <w:abstractNumId w:val="0"/>
  </w:num>
  <w:num w:numId="6" w16cid:durableId="500899399">
    <w:abstractNumId w:val="13"/>
  </w:num>
  <w:num w:numId="7" w16cid:durableId="757555913">
    <w:abstractNumId w:val="11"/>
  </w:num>
  <w:num w:numId="8" w16cid:durableId="1195458628">
    <w:abstractNumId w:val="14"/>
    <w:lvlOverride w:ilvl="0">
      <w:startOverride w:val="1"/>
    </w:lvlOverride>
    <w:lvlOverride w:ilvl="1"/>
    <w:lvlOverride w:ilvl="2"/>
    <w:lvlOverride w:ilvl="3"/>
    <w:lvlOverride w:ilvl="4"/>
    <w:lvlOverride w:ilvl="5"/>
    <w:lvlOverride w:ilvl="6"/>
    <w:lvlOverride w:ilvl="7"/>
    <w:lvlOverride w:ilvl="8"/>
  </w:num>
  <w:num w:numId="9" w16cid:durableId="87895053">
    <w:abstractNumId w:val="2"/>
  </w:num>
  <w:num w:numId="10" w16cid:durableId="1208444270">
    <w:abstractNumId w:val="4"/>
  </w:num>
  <w:num w:numId="11" w16cid:durableId="1324627091">
    <w:abstractNumId w:val="10"/>
  </w:num>
  <w:num w:numId="12" w16cid:durableId="913904037">
    <w:abstractNumId w:val="9"/>
  </w:num>
  <w:num w:numId="13" w16cid:durableId="451899496">
    <w:abstractNumId w:val="1"/>
  </w:num>
  <w:num w:numId="14" w16cid:durableId="1481578055">
    <w:abstractNumId w:val="12"/>
  </w:num>
  <w:num w:numId="15" w16cid:durableId="1765152812">
    <w:abstractNumId w:val="5"/>
  </w:num>
  <w:num w:numId="16" w16cid:durableId="1911886277">
    <w:abstractNumId w:val="8"/>
  </w:num>
  <w:num w:numId="17" w16cid:durableId="1996832929">
    <w:abstractNumId w:val="8"/>
  </w:num>
  <w:num w:numId="18" w16cid:durableId="661661537">
    <w:abstractNumId w:val="8"/>
  </w:num>
  <w:num w:numId="19" w16cid:durableId="310327059">
    <w:abstractNumId w:val="8"/>
  </w:num>
  <w:num w:numId="20" w16cid:durableId="1118917295">
    <w:abstractNumId w:val="8"/>
  </w:num>
  <w:num w:numId="21" w16cid:durableId="721832844">
    <w:abstractNumId w:val="8"/>
  </w:num>
  <w:num w:numId="22" w16cid:durableId="1534810752">
    <w:abstractNumId w:val="3"/>
  </w:num>
  <w:num w:numId="23" w16cid:durableId="224607438">
    <w:abstractNumId w:val="8"/>
  </w:num>
  <w:num w:numId="24" w16cid:durableId="1197426775">
    <w:abstractNumId w:val="8"/>
  </w:num>
  <w:num w:numId="25" w16cid:durableId="1521551650">
    <w:abstractNumId w:val="8"/>
  </w:num>
  <w:num w:numId="26" w16cid:durableId="1867056400">
    <w:abstractNumId w:val="8"/>
  </w:num>
  <w:num w:numId="27" w16cid:durableId="51919657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proofState w:spelling="clean" w:grammar="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E5"/>
    <w:rsid w:val="0000028F"/>
    <w:rsid w:val="0000033B"/>
    <w:rsid w:val="000003CC"/>
    <w:rsid w:val="00000587"/>
    <w:rsid w:val="00000856"/>
    <w:rsid w:val="000009A4"/>
    <w:rsid w:val="00000C05"/>
    <w:rsid w:val="00000E30"/>
    <w:rsid w:val="00000E3F"/>
    <w:rsid w:val="0000154D"/>
    <w:rsid w:val="00001721"/>
    <w:rsid w:val="00001790"/>
    <w:rsid w:val="00001B7D"/>
    <w:rsid w:val="00001C0F"/>
    <w:rsid w:val="000022A7"/>
    <w:rsid w:val="000024B9"/>
    <w:rsid w:val="00002522"/>
    <w:rsid w:val="00002BEB"/>
    <w:rsid w:val="00002E62"/>
    <w:rsid w:val="00002EF3"/>
    <w:rsid w:val="0000321F"/>
    <w:rsid w:val="00003628"/>
    <w:rsid w:val="00003776"/>
    <w:rsid w:val="0000384E"/>
    <w:rsid w:val="00004044"/>
    <w:rsid w:val="00004069"/>
    <w:rsid w:val="000042B6"/>
    <w:rsid w:val="00004376"/>
    <w:rsid w:val="00004A13"/>
    <w:rsid w:val="00004CD0"/>
    <w:rsid w:val="000050C9"/>
    <w:rsid w:val="000055DC"/>
    <w:rsid w:val="000058E9"/>
    <w:rsid w:val="00005BBB"/>
    <w:rsid w:val="00005D19"/>
    <w:rsid w:val="00006AA0"/>
    <w:rsid w:val="00006D5F"/>
    <w:rsid w:val="00006EFA"/>
    <w:rsid w:val="00006FE8"/>
    <w:rsid w:val="00007C27"/>
    <w:rsid w:val="0001010E"/>
    <w:rsid w:val="00010689"/>
    <w:rsid w:val="00010FE0"/>
    <w:rsid w:val="00011146"/>
    <w:rsid w:val="0001115A"/>
    <w:rsid w:val="00011284"/>
    <w:rsid w:val="000123D7"/>
    <w:rsid w:val="00012B70"/>
    <w:rsid w:val="00012C18"/>
    <w:rsid w:val="00013392"/>
    <w:rsid w:val="00013639"/>
    <w:rsid w:val="0001373B"/>
    <w:rsid w:val="00013BA3"/>
    <w:rsid w:val="00014111"/>
    <w:rsid w:val="00014189"/>
    <w:rsid w:val="000144A1"/>
    <w:rsid w:val="00014647"/>
    <w:rsid w:val="00014789"/>
    <w:rsid w:val="00014F14"/>
    <w:rsid w:val="0001511B"/>
    <w:rsid w:val="00015272"/>
    <w:rsid w:val="000153AD"/>
    <w:rsid w:val="000154FA"/>
    <w:rsid w:val="000159ED"/>
    <w:rsid w:val="00015AD8"/>
    <w:rsid w:val="00015C60"/>
    <w:rsid w:val="0001613E"/>
    <w:rsid w:val="000166F7"/>
    <w:rsid w:val="00016C12"/>
    <w:rsid w:val="00016C7B"/>
    <w:rsid w:val="00016D70"/>
    <w:rsid w:val="00016DE7"/>
    <w:rsid w:val="00017E10"/>
    <w:rsid w:val="00017F87"/>
    <w:rsid w:val="00017FD2"/>
    <w:rsid w:val="00020347"/>
    <w:rsid w:val="00020598"/>
    <w:rsid w:val="0002061F"/>
    <w:rsid w:val="00020B62"/>
    <w:rsid w:val="00020BA2"/>
    <w:rsid w:val="00021F90"/>
    <w:rsid w:val="000220AA"/>
    <w:rsid w:val="000220F1"/>
    <w:rsid w:val="0002276D"/>
    <w:rsid w:val="00022868"/>
    <w:rsid w:val="00022F94"/>
    <w:rsid w:val="000235DA"/>
    <w:rsid w:val="00023811"/>
    <w:rsid w:val="00023861"/>
    <w:rsid w:val="00023B77"/>
    <w:rsid w:val="00023DE0"/>
    <w:rsid w:val="00023FC4"/>
    <w:rsid w:val="00023FF1"/>
    <w:rsid w:val="00024372"/>
    <w:rsid w:val="000243E8"/>
    <w:rsid w:val="000244CA"/>
    <w:rsid w:val="00024617"/>
    <w:rsid w:val="00024752"/>
    <w:rsid w:val="00024D0C"/>
    <w:rsid w:val="0002516A"/>
    <w:rsid w:val="000257D6"/>
    <w:rsid w:val="000258D6"/>
    <w:rsid w:val="00025AD9"/>
    <w:rsid w:val="00025ECF"/>
    <w:rsid w:val="00026201"/>
    <w:rsid w:val="00026C08"/>
    <w:rsid w:val="0002726D"/>
    <w:rsid w:val="000272DB"/>
    <w:rsid w:val="00027860"/>
    <w:rsid w:val="00027E2F"/>
    <w:rsid w:val="00027F91"/>
    <w:rsid w:val="000301D3"/>
    <w:rsid w:val="000305DA"/>
    <w:rsid w:val="000306A7"/>
    <w:rsid w:val="00030EAC"/>
    <w:rsid w:val="00030FE3"/>
    <w:rsid w:val="00031089"/>
    <w:rsid w:val="00031B88"/>
    <w:rsid w:val="0003216D"/>
    <w:rsid w:val="00032A89"/>
    <w:rsid w:val="00032AC5"/>
    <w:rsid w:val="00033310"/>
    <w:rsid w:val="00033461"/>
    <w:rsid w:val="00033C20"/>
    <w:rsid w:val="000342FC"/>
    <w:rsid w:val="00034420"/>
    <w:rsid w:val="00034E8F"/>
    <w:rsid w:val="00034F81"/>
    <w:rsid w:val="00035254"/>
    <w:rsid w:val="0003592D"/>
    <w:rsid w:val="0003608A"/>
    <w:rsid w:val="00036913"/>
    <w:rsid w:val="00036C66"/>
    <w:rsid w:val="00036F2C"/>
    <w:rsid w:val="00037070"/>
    <w:rsid w:val="0003735C"/>
    <w:rsid w:val="00037407"/>
    <w:rsid w:val="0003743D"/>
    <w:rsid w:val="00037845"/>
    <w:rsid w:val="000378B8"/>
    <w:rsid w:val="00037C6B"/>
    <w:rsid w:val="00037F12"/>
    <w:rsid w:val="0004015D"/>
    <w:rsid w:val="00041183"/>
    <w:rsid w:val="00041946"/>
    <w:rsid w:val="00042066"/>
    <w:rsid w:val="00042A52"/>
    <w:rsid w:val="00042D44"/>
    <w:rsid w:val="00042F8A"/>
    <w:rsid w:val="000433DD"/>
    <w:rsid w:val="0004374D"/>
    <w:rsid w:val="00043FA5"/>
    <w:rsid w:val="0004402F"/>
    <w:rsid w:val="00044390"/>
    <w:rsid w:val="00044508"/>
    <w:rsid w:val="00044C9D"/>
    <w:rsid w:val="000454E8"/>
    <w:rsid w:val="0004566D"/>
    <w:rsid w:val="000459ED"/>
    <w:rsid w:val="00045E1B"/>
    <w:rsid w:val="00046393"/>
    <w:rsid w:val="00046702"/>
    <w:rsid w:val="00046FB1"/>
    <w:rsid w:val="00047549"/>
    <w:rsid w:val="000475D5"/>
    <w:rsid w:val="00047C3C"/>
    <w:rsid w:val="00047D29"/>
    <w:rsid w:val="00050252"/>
    <w:rsid w:val="000506EC"/>
    <w:rsid w:val="00050DDB"/>
    <w:rsid w:val="000512DD"/>
    <w:rsid w:val="000513EA"/>
    <w:rsid w:val="000516C6"/>
    <w:rsid w:val="00051875"/>
    <w:rsid w:val="00052256"/>
    <w:rsid w:val="00052305"/>
    <w:rsid w:val="000523A3"/>
    <w:rsid w:val="000528B9"/>
    <w:rsid w:val="0005307F"/>
    <w:rsid w:val="0005354F"/>
    <w:rsid w:val="0005387F"/>
    <w:rsid w:val="00054050"/>
    <w:rsid w:val="00054BBB"/>
    <w:rsid w:val="00054C59"/>
    <w:rsid w:val="00054D81"/>
    <w:rsid w:val="000553AE"/>
    <w:rsid w:val="000554D0"/>
    <w:rsid w:val="00055AA2"/>
    <w:rsid w:val="00056189"/>
    <w:rsid w:val="000566E6"/>
    <w:rsid w:val="00056B9F"/>
    <w:rsid w:val="0005755D"/>
    <w:rsid w:val="00057CBF"/>
    <w:rsid w:val="00057FAF"/>
    <w:rsid w:val="00060AB1"/>
    <w:rsid w:val="00060B23"/>
    <w:rsid w:val="00060C7D"/>
    <w:rsid w:val="00060CA0"/>
    <w:rsid w:val="00060FA0"/>
    <w:rsid w:val="000610E5"/>
    <w:rsid w:val="00061416"/>
    <w:rsid w:val="000617F9"/>
    <w:rsid w:val="00061A55"/>
    <w:rsid w:val="00061BEB"/>
    <w:rsid w:val="0006244E"/>
    <w:rsid w:val="000626E6"/>
    <w:rsid w:val="00062820"/>
    <w:rsid w:val="00062CA3"/>
    <w:rsid w:val="00062DED"/>
    <w:rsid w:val="00062F34"/>
    <w:rsid w:val="00063283"/>
    <w:rsid w:val="0006359F"/>
    <w:rsid w:val="00063834"/>
    <w:rsid w:val="00064215"/>
    <w:rsid w:val="00064622"/>
    <w:rsid w:val="000648E6"/>
    <w:rsid w:val="0006492F"/>
    <w:rsid w:val="00064A01"/>
    <w:rsid w:val="00064C2F"/>
    <w:rsid w:val="00064D32"/>
    <w:rsid w:val="00065D01"/>
    <w:rsid w:val="00066173"/>
    <w:rsid w:val="00066B22"/>
    <w:rsid w:val="00066E6A"/>
    <w:rsid w:val="00067A43"/>
    <w:rsid w:val="00067DEF"/>
    <w:rsid w:val="00067F5A"/>
    <w:rsid w:val="000701B9"/>
    <w:rsid w:val="0007093C"/>
    <w:rsid w:val="00070AF3"/>
    <w:rsid w:val="00070CAC"/>
    <w:rsid w:val="00070E1F"/>
    <w:rsid w:val="00070EB9"/>
    <w:rsid w:val="00071150"/>
    <w:rsid w:val="000713E5"/>
    <w:rsid w:val="00071C01"/>
    <w:rsid w:val="00071DFD"/>
    <w:rsid w:val="00071EDC"/>
    <w:rsid w:val="0007216E"/>
    <w:rsid w:val="000721D1"/>
    <w:rsid w:val="00072648"/>
    <w:rsid w:val="000726AD"/>
    <w:rsid w:val="000728D0"/>
    <w:rsid w:val="00072B45"/>
    <w:rsid w:val="00073200"/>
    <w:rsid w:val="0007338C"/>
    <w:rsid w:val="000734F6"/>
    <w:rsid w:val="00073668"/>
    <w:rsid w:val="00073798"/>
    <w:rsid w:val="00073DC4"/>
    <w:rsid w:val="00074031"/>
    <w:rsid w:val="00074674"/>
    <w:rsid w:val="000747E0"/>
    <w:rsid w:val="00075622"/>
    <w:rsid w:val="000758E1"/>
    <w:rsid w:val="00075A9A"/>
    <w:rsid w:val="0007668C"/>
    <w:rsid w:val="00077220"/>
    <w:rsid w:val="00077A3C"/>
    <w:rsid w:val="00077CC1"/>
    <w:rsid w:val="00080663"/>
    <w:rsid w:val="00081059"/>
    <w:rsid w:val="000814A4"/>
    <w:rsid w:val="00081C87"/>
    <w:rsid w:val="00081EF1"/>
    <w:rsid w:val="0008227D"/>
    <w:rsid w:val="00082894"/>
    <w:rsid w:val="00082A08"/>
    <w:rsid w:val="00082E82"/>
    <w:rsid w:val="000831BE"/>
    <w:rsid w:val="00083752"/>
    <w:rsid w:val="000837B3"/>
    <w:rsid w:val="0008397A"/>
    <w:rsid w:val="000842DA"/>
    <w:rsid w:val="00084B10"/>
    <w:rsid w:val="00084BC5"/>
    <w:rsid w:val="00084CCB"/>
    <w:rsid w:val="0008512D"/>
    <w:rsid w:val="00086399"/>
    <w:rsid w:val="00086EC9"/>
    <w:rsid w:val="0008722B"/>
    <w:rsid w:val="0008786C"/>
    <w:rsid w:val="000879AD"/>
    <w:rsid w:val="00090028"/>
    <w:rsid w:val="00090320"/>
    <w:rsid w:val="00090468"/>
    <w:rsid w:val="00090B29"/>
    <w:rsid w:val="00091343"/>
    <w:rsid w:val="00091AB6"/>
    <w:rsid w:val="00091C7B"/>
    <w:rsid w:val="00093512"/>
    <w:rsid w:val="00093BAF"/>
    <w:rsid w:val="000942DB"/>
    <w:rsid w:val="0009439C"/>
    <w:rsid w:val="000943D7"/>
    <w:rsid w:val="000945FC"/>
    <w:rsid w:val="00094669"/>
    <w:rsid w:val="00094D22"/>
    <w:rsid w:val="00094EDB"/>
    <w:rsid w:val="000950E9"/>
    <w:rsid w:val="00095412"/>
    <w:rsid w:val="000957DC"/>
    <w:rsid w:val="00095A1D"/>
    <w:rsid w:val="00096204"/>
    <w:rsid w:val="00096260"/>
    <w:rsid w:val="0009637E"/>
    <w:rsid w:val="00096FAC"/>
    <w:rsid w:val="00097375"/>
    <w:rsid w:val="000973A8"/>
    <w:rsid w:val="000976DB"/>
    <w:rsid w:val="00097941"/>
    <w:rsid w:val="000979C5"/>
    <w:rsid w:val="00097C56"/>
    <w:rsid w:val="00097D01"/>
    <w:rsid w:val="000A082A"/>
    <w:rsid w:val="000A1181"/>
    <w:rsid w:val="000A14F5"/>
    <w:rsid w:val="000A18BF"/>
    <w:rsid w:val="000A1DA6"/>
    <w:rsid w:val="000A1FA2"/>
    <w:rsid w:val="000A20DD"/>
    <w:rsid w:val="000A235C"/>
    <w:rsid w:val="000A2407"/>
    <w:rsid w:val="000A24AC"/>
    <w:rsid w:val="000A26FA"/>
    <w:rsid w:val="000A2E89"/>
    <w:rsid w:val="000A3604"/>
    <w:rsid w:val="000A3735"/>
    <w:rsid w:val="000A3959"/>
    <w:rsid w:val="000A3CF4"/>
    <w:rsid w:val="000A452A"/>
    <w:rsid w:val="000A46F7"/>
    <w:rsid w:val="000A4841"/>
    <w:rsid w:val="000A4CE7"/>
    <w:rsid w:val="000A4DC1"/>
    <w:rsid w:val="000A518F"/>
    <w:rsid w:val="000A5193"/>
    <w:rsid w:val="000A5201"/>
    <w:rsid w:val="000A583F"/>
    <w:rsid w:val="000A5B1C"/>
    <w:rsid w:val="000A6616"/>
    <w:rsid w:val="000A6D16"/>
    <w:rsid w:val="000A715A"/>
    <w:rsid w:val="000A7188"/>
    <w:rsid w:val="000A77DA"/>
    <w:rsid w:val="000A7C94"/>
    <w:rsid w:val="000A7DA2"/>
    <w:rsid w:val="000B0A2E"/>
    <w:rsid w:val="000B0BE1"/>
    <w:rsid w:val="000B0CCB"/>
    <w:rsid w:val="000B0F74"/>
    <w:rsid w:val="000B1000"/>
    <w:rsid w:val="000B103C"/>
    <w:rsid w:val="000B1160"/>
    <w:rsid w:val="000B117F"/>
    <w:rsid w:val="000B1401"/>
    <w:rsid w:val="000B172B"/>
    <w:rsid w:val="000B18F1"/>
    <w:rsid w:val="000B242A"/>
    <w:rsid w:val="000B2458"/>
    <w:rsid w:val="000B2AB4"/>
    <w:rsid w:val="000B2C13"/>
    <w:rsid w:val="000B2D92"/>
    <w:rsid w:val="000B2F3D"/>
    <w:rsid w:val="000B35C8"/>
    <w:rsid w:val="000B3EAE"/>
    <w:rsid w:val="000B4011"/>
    <w:rsid w:val="000B4266"/>
    <w:rsid w:val="000B44A4"/>
    <w:rsid w:val="000B47CD"/>
    <w:rsid w:val="000B497C"/>
    <w:rsid w:val="000B5001"/>
    <w:rsid w:val="000B59AA"/>
    <w:rsid w:val="000B5C0C"/>
    <w:rsid w:val="000B6C5F"/>
    <w:rsid w:val="000B6EAF"/>
    <w:rsid w:val="000B70D0"/>
    <w:rsid w:val="000B7BF8"/>
    <w:rsid w:val="000B7C01"/>
    <w:rsid w:val="000B7EE1"/>
    <w:rsid w:val="000C0388"/>
    <w:rsid w:val="000C041F"/>
    <w:rsid w:val="000C0887"/>
    <w:rsid w:val="000C09CA"/>
    <w:rsid w:val="000C0B23"/>
    <w:rsid w:val="000C0BEE"/>
    <w:rsid w:val="000C0C31"/>
    <w:rsid w:val="000C1132"/>
    <w:rsid w:val="000C137E"/>
    <w:rsid w:val="000C14E3"/>
    <w:rsid w:val="000C1727"/>
    <w:rsid w:val="000C188B"/>
    <w:rsid w:val="000C1A9B"/>
    <w:rsid w:val="000C20F5"/>
    <w:rsid w:val="000C21A2"/>
    <w:rsid w:val="000C3096"/>
    <w:rsid w:val="000C30BA"/>
    <w:rsid w:val="000C3264"/>
    <w:rsid w:val="000C3C37"/>
    <w:rsid w:val="000C3DFD"/>
    <w:rsid w:val="000C4125"/>
    <w:rsid w:val="000C4AB2"/>
    <w:rsid w:val="000C4E2A"/>
    <w:rsid w:val="000C547A"/>
    <w:rsid w:val="000C5595"/>
    <w:rsid w:val="000C5C1D"/>
    <w:rsid w:val="000C5C61"/>
    <w:rsid w:val="000C63AB"/>
    <w:rsid w:val="000C67ED"/>
    <w:rsid w:val="000C6AFD"/>
    <w:rsid w:val="000C6BE0"/>
    <w:rsid w:val="000C7308"/>
    <w:rsid w:val="000C7691"/>
    <w:rsid w:val="000C7718"/>
    <w:rsid w:val="000C7AB3"/>
    <w:rsid w:val="000C7D87"/>
    <w:rsid w:val="000C7E16"/>
    <w:rsid w:val="000D04FA"/>
    <w:rsid w:val="000D0AC3"/>
    <w:rsid w:val="000D0CBD"/>
    <w:rsid w:val="000D163D"/>
    <w:rsid w:val="000D166B"/>
    <w:rsid w:val="000D1756"/>
    <w:rsid w:val="000D1E2E"/>
    <w:rsid w:val="000D1E89"/>
    <w:rsid w:val="000D21F7"/>
    <w:rsid w:val="000D2204"/>
    <w:rsid w:val="000D2691"/>
    <w:rsid w:val="000D2830"/>
    <w:rsid w:val="000D2B5E"/>
    <w:rsid w:val="000D2FAF"/>
    <w:rsid w:val="000D349C"/>
    <w:rsid w:val="000D3AE2"/>
    <w:rsid w:val="000D3EC6"/>
    <w:rsid w:val="000D3F9F"/>
    <w:rsid w:val="000D4019"/>
    <w:rsid w:val="000D4C76"/>
    <w:rsid w:val="000D4F7C"/>
    <w:rsid w:val="000D5382"/>
    <w:rsid w:val="000D557C"/>
    <w:rsid w:val="000D58E6"/>
    <w:rsid w:val="000D5ED7"/>
    <w:rsid w:val="000D5FF9"/>
    <w:rsid w:val="000D6738"/>
    <w:rsid w:val="000D6853"/>
    <w:rsid w:val="000D6D06"/>
    <w:rsid w:val="000D73B1"/>
    <w:rsid w:val="000D7DFD"/>
    <w:rsid w:val="000E02D1"/>
    <w:rsid w:val="000E06A8"/>
    <w:rsid w:val="000E0AD5"/>
    <w:rsid w:val="000E1101"/>
    <w:rsid w:val="000E136D"/>
    <w:rsid w:val="000E14FA"/>
    <w:rsid w:val="000E1CB0"/>
    <w:rsid w:val="000E1E4E"/>
    <w:rsid w:val="000E1EB0"/>
    <w:rsid w:val="000E2C3A"/>
    <w:rsid w:val="000E3225"/>
    <w:rsid w:val="000E331B"/>
    <w:rsid w:val="000E3611"/>
    <w:rsid w:val="000E38AE"/>
    <w:rsid w:val="000E3AE4"/>
    <w:rsid w:val="000E3E9E"/>
    <w:rsid w:val="000E4A2A"/>
    <w:rsid w:val="000E5381"/>
    <w:rsid w:val="000E5491"/>
    <w:rsid w:val="000E55FA"/>
    <w:rsid w:val="000E598A"/>
    <w:rsid w:val="000E5C8C"/>
    <w:rsid w:val="000E5CDF"/>
    <w:rsid w:val="000E5F17"/>
    <w:rsid w:val="000E69C5"/>
    <w:rsid w:val="000E6A6F"/>
    <w:rsid w:val="000E6B26"/>
    <w:rsid w:val="000E6E8C"/>
    <w:rsid w:val="000E7256"/>
    <w:rsid w:val="000E78E0"/>
    <w:rsid w:val="000E7935"/>
    <w:rsid w:val="000E793B"/>
    <w:rsid w:val="000E7942"/>
    <w:rsid w:val="000E7EDB"/>
    <w:rsid w:val="000E7FB4"/>
    <w:rsid w:val="000F004A"/>
    <w:rsid w:val="000F00CA"/>
    <w:rsid w:val="000F0226"/>
    <w:rsid w:val="000F024E"/>
    <w:rsid w:val="000F0338"/>
    <w:rsid w:val="000F215C"/>
    <w:rsid w:val="000F2337"/>
    <w:rsid w:val="000F233A"/>
    <w:rsid w:val="000F234E"/>
    <w:rsid w:val="000F2515"/>
    <w:rsid w:val="000F2812"/>
    <w:rsid w:val="000F294A"/>
    <w:rsid w:val="000F2F3A"/>
    <w:rsid w:val="000F37AB"/>
    <w:rsid w:val="000F3DAE"/>
    <w:rsid w:val="000F3F91"/>
    <w:rsid w:val="000F465F"/>
    <w:rsid w:val="000F4C36"/>
    <w:rsid w:val="000F4CA5"/>
    <w:rsid w:val="000F525A"/>
    <w:rsid w:val="000F52BF"/>
    <w:rsid w:val="000F5649"/>
    <w:rsid w:val="000F58D0"/>
    <w:rsid w:val="000F58DE"/>
    <w:rsid w:val="000F5928"/>
    <w:rsid w:val="000F5EF8"/>
    <w:rsid w:val="000F5F55"/>
    <w:rsid w:val="000F6087"/>
    <w:rsid w:val="000F60A3"/>
    <w:rsid w:val="000F60BC"/>
    <w:rsid w:val="000F67A1"/>
    <w:rsid w:val="000F6D6D"/>
    <w:rsid w:val="000F6DDC"/>
    <w:rsid w:val="000F7181"/>
    <w:rsid w:val="000F78EE"/>
    <w:rsid w:val="000F7D3F"/>
    <w:rsid w:val="00100DD3"/>
    <w:rsid w:val="00101978"/>
    <w:rsid w:val="00101B4B"/>
    <w:rsid w:val="00101C96"/>
    <w:rsid w:val="00101F4E"/>
    <w:rsid w:val="00102026"/>
    <w:rsid w:val="001020CC"/>
    <w:rsid w:val="00102194"/>
    <w:rsid w:val="00102676"/>
    <w:rsid w:val="00102746"/>
    <w:rsid w:val="0010290D"/>
    <w:rsid w:val="00102F62"/>
    <w:rsid w:val="00103072"/>
    <w:rsid w:val="00103226"/>
    <w:rsid w:val="001035D3"/>
    <w:rsid w:val="001036A7"/>
    <w:rsid w:val="0010380F"/>
    <w:rsid w:val="001038EF"/>
    <w:rsid w:val="00103E64"/>
    <w:rsid w:val="00104257"/>
    <w:rsid w:val="0010468F"/>
    <w:rsid w:val="00104CDA"/>
    <w:rsid w:val="00104DC3"/>
    <w:rsid w:val="00105465"/>
    <w:rsid w:val="00105C26"/>
    <w:rsid w:val="00105DD4"/>
    <w:rsid w:val="00105E7F"/>
    <w:rsid w:val="00106120"/>
    <w:rsid w:val="001065F6"/>
    <w:rsid w:val="00106CB3"/>
    <w:rsid w:val="00106D18"/>
    <w:rsid w:val="00107060"/>
    <w:rsid w:val="00107245"/>
    <w:rsid w:val="00107988"/>
    <w:rsid w:val="00107F18"/>
    <w:rsid w:val="00110851"/>
    <w:rsid w:val="0011121B"/>
    <w:rsid w:val="001114FF"/>
    <w:rsid w:val="00111600"/>
    <w:rsid w:val="0011187A"/>
    <w:rsid w:val="00111A19"/>
    <w:rsid w:val="00111E3F"/>
    <w:rsid w:val="001126AA"/>
    <w:rsid w:val="00112D0C"/>
    <w:rsid w:val="00112FF0"/>
    <w:rsid w:val="00113072"/>
    <w:rsid w:val="00113957"/>
    <w:rsid w:val="00113E45"/>
    <w:rsid w:val="00113F8E"/>
    <w:rsid w:val="001140FE"/>
    <w:rsid w:val="001141E5"/>
    <w:rsid w:val="001144B8"/>
    <w:rsid w:val="00114805"/>
    <w:rsid w:val="00114D18"/>
    <w:rsid w:val="0011570C"/>
    <w:rsid w:val="001159E5"/>
    <w:rsid w:val="00115E1E"/>
    <w:rsid w:val="00115FD5"/>
    <w:rsid w:val="001165A3"/>
    <w:rsid w:val="0011687B"/>
    <w:rsid w:val="00116B12"/>
    <w:rsid w:val="00116B47"/>
    <w:rsid w:val="00116F5E"/>
    <w:rsid w:val="0011728F"/>
    <w:rsid w:val="0011795E"/>
    <w:rsid w:val="00117963"/>
    <w:rsid w:val="00120273"/>
    <w:rsid w:val="001204E2"/>
    <w:rsid w:val="001205F4"/>
    <w:rsid w:val="001208CA"/>
    <w:rsid w:val="00121F26"/>
    <w:rsid w:val="001220A0"/>
    <w:rsid w:val="00122211"/>
    <w:rsid w:val="001224F8"/>
    <w:rsid w:val="0012257D"/>
    <w:rsid w:val="00122690"/>
    <w:rsid w:val="00123091"/>
    <w:rsid w:val="00123260"/>
    <w:rsid w:val="00123962"/>
    <w:rsid w:val="00123E52"/>
    <w:rsid w:val="001243C2"/>
    <w:rsid w:val="00124CD1"/>
    <w:rsid w:val="00124CDE"/>
    <w:rsid w:val="00124FEC"/>
    <w:rsid w:val="00125341"/>
    <w:rsid w:val="00125883"/>
    <w:rsid w:val="001258DD"/>
    <w:rsid w:val="00125A09"/>
    <w:rsid w:val="00125D35"/>
    <w:rsid w:val="00125EFE"/>
    <w:rsid w:val="00126060"/>
    <w:rsid w:val="001262AC"/>
    <w:rsid w:val="00126578"/>
    <w:rsid w:val="00126951"/>
    <w:rsid w:val="00127C85"/>
    <w:rsid w:val="00130035"/>
    <w:rsid w:val="00130170"/>
    <w:rsid w:val="00130407"/>
    <w:rsid w:val="00130469"/>
    <w:rsid w:val="00130474"/>
    <w:rsid w:val="0013063E"/>
    <w:rsid w:val="00130773"/>
    <w:rsid w:val="001318E4"/>
    <w:rsid w:val="001320A8"/>
    <w:rsid w:val="001322C0"/>
    <w:rsid w:val="001324D3"/>
    <w:rsid w:val="00132A67"/>
    <w:rsid w:val="00132A6C"/>
    <w:rsid w:val="00132B07"/>
    <w:rsid w:val="00132FD3"/>
    <w:rsid w:val="0013317A"/>
    <w:rsid w:val="001331FB"/>
    <w:rsid w:val="0013346F"/>
    <w:rsid w:val="00133739"/>
    <w:rsid w:val="0013400E"/>
    <w:rsid w:val="00135839"/>
    <w:rsid w:val="00135C9A"/>
    <w:rsid w:val="00135CF9"/>
    <w:rsid w:val="001364AB"/>
    <w:rsid w:val="00136873"/>
    <w:rsid w:val="00136B79"/>
    <w:rsid w:val="00136F62"/>
    <w:rsid w:val="00137174"/>
    <w:rsid w:val="001377B0"/>
    <w:rsid w:val="00137A6C"/>
    <w:rsid w:val="00137A86"/>
    <w:rsid w:val="00137AAC"/>
    <w:rsid w:val="00137ECB"/>
    <w:rsid w:val="00140449"/>
    <w:rsid w:val="00141203"/>
    <w:rsid w:val="0014134C"/>
    <w:rsid w:val="00141D7E"/>
    <w:rsid w:val="00141D95"/>
    <w:rsid w:val="001421EF"/>
    <w:rsid w:val="0014234A"/>
    <w:rsid w:val="00142512"/>
    <w:rsid w:val="00142EF8"/>
    <w:rsid w:val="00143278"/>
    <w:rsid w:val="00143279"/>
    <w:rsid w:val="00143368"/>
    <w:rsid w:val="001437A1"/>
    <w:rsid w:val="00143C9B"/>
    <w:rsid w:val="00144797"/>
    <w:rsid w:val="00144DBD"/>
    <w:rsid w:val="00144E5C"/>
    <w:rsid w:val="0014507D"/>
    <w:rsid w:val="001453D4"/>
    <w:rsid w:val="00145478"/>
    <w:rsid w:val="001454FA"/>
    <w:rsid w:val="00145A7E"/>
    <w:rsid w:val="00145B70"/>
    <w:rsid w:val="00145CE2"/>
    <w:rsid w:val="0014604B"/>
    <w:rsid w:val="00146050"/>
    <w:rsid w:val="001468A3"/>
    <w:rsid w:val="00146E10"/>
    <w:rsid w:val="001476BB"/>
    <w:rsid w:val="0014775C"/>
    <w:rsid w:val="00147945"/>
    <w:rsid w:val="00147BFE"/>
    <w:rsid w:val="00147C94"/>
    <w:rsid w:val="0015018F"/>
    <w:rsid w:val="001504AD"/>
    <w:rsid w:val="00150B9B"/>
    <w:rsid w:val="001516E7"/>
    <w:rsid w:val="0015203B"/>
    <w:rsid w:val="001520DC"/>
    <w:rsid w:val="001523FA"/>
    <w:rsid w:val="00152A01"/>
    <w:rsid w:val="00152DBA"/>
    <w:rsid w:val="00153887"/>
    <w:rsid w:val="00154192"/>
    <w:rsid w:val="00154199"/>
    <w:rsid w:val="00154440"/>
    <w:rsid w:val="00154A42"/>
    <w:rsid w:val="00154CC0"/>
    <w:rsid w:val="00154FF2"/>
    <w:rsid w:val="00155B4C"/>
    <w:rsid w:val="00155D11"/>
    <w:rsid w:val="00155EF9"/>
    <w:rsid w:val="0015615E"/>
    <w:rsid w:val="00156288"/>
    <w:rsid w:val="00156DFD"/>
    <w:rsid w:val="0015729D"/>
    <w:rsid w:val="00160195"/>
    <w:rsid w:val="00160499"/>
    <w:rsid w:val="001605C4"/>
    <w:rsid w:val="00160719"/>
    <w:rsid w:val="00160893"/>
    <w:rsid w:val="00160EBD"/>
    <w:rsid w:val="0016103C"/>
    <w:rsid w:val="00161730"/>
    <w:rsid w:val="00161761"/>
    <w:rsid w:val="00161AA5"/>
    <w:rsid w:val="00161BF0"/>
    <w:rsid w:val="00161E0F"/>
    <w:rsid w:val="00162297"/>
    <w:rsid w:val="00162355"/>
    <w:rsid w:val="00162A50"/>
    <w:rsid w:val="001635A7"/>
    <w:rsid w:val="00163A22"/>
    <w:rsid w:val="00163CC4"/>
    <w:rsid w:val="00163CC7"/>
    <w:rsid w:val="00164B76"/>
    <w:rsid w:val="00165326"/>
    <w:rsid w:val="00165506"/>
    <w:rsid w:val="0016559C"/>
    <w:rsid w:val="001656D9"/>
    <w:rsid w:val="00165C4E"/>
    <w:rsid w:val="001662B7"/>
    <w:rsid w:val="0016674F"/>
    <w:rsid w:val="00166FE0"/>
    <w:rsid w:val="001670AB"/>
    <w:rsid w:val="0016723D"/>
    <w:rsid w:val="00167BAE"/>
    <w:rsid w:val="0017111F"/>
    <w:rsid w:val="001714F3"/>
    <w:rsid w:val="00171730"/>
    <w:rsid w:val="00171A05"/>
    <w:rsid w:val="00171C59"/>
    <w:rsid w:val="001723A4"/>
    <w:rsid w:val="0017253C"/>
    <w:rsid w:val="0017339F"/>
    <w:rsid w:val="00173501"/>
    <w:rsid w:val="0017369A"/>
    <w:rsid w:val="00174187"/>
    <w:rsid w:val="001743B5"/>
    <w:rsid w:val="00174735"/>
    <w:rsid w:val="001750D9"/>
    <w:rsid w:val="00175815"/>
    <w:rsid w:val="0017594E"/>
    <w:rsid w:val="001765D4"/>
    <w:rsid w:val="00176A10"/>
    <w:rsid w:val="00176C61"/>
    <w:rsid w:val="0017741E"/>
    <w:rsid w:val="00180696"/>
    <w:rsid w:val="001809DF"/>
    <w:rsid w:val="00180BF3"/>
    <w:rsid w:val="00180CBD"/>
    <w:rsid w:val="00181C75"/>
    <w:rsid w:val="00181FDE"/>
    <w:rsid w:val="00182276"/>
    <w:rsid w:val="001830BD"/>
    <w:rsid w:val="001832D7"/>
    <w:rsid w:val="001832FF"/>
    <w:rsid w:val="001841DF"/>
    <w:rsid w:val="001847DE"/>
    <w:rsid w:val="00184BD8"/>
    <w:rsid w:val="00184D79"/>
    <w:rsid w:val="00184FDC"/>
    <w:rsid w:val="001855BC"/>
    <w:rsid w:val="001857B2"/>
    <w:rsid w:val="001858E8"/>
    <w:rsid w:val="0018609E"/>
    <w:rsid w:val="0018620A"/>
    <w:rsid w:val="00187031"/>
    <w:rsid w:val="00187637"/>
    <w:rsid w:val="00187728"/>
    <w:rsid w:val="0018786A"/>
    <w:rsid w:val="00187896"/>
    <w:rsid w:val="001902C2"/>
    <w:rsid w:val="001902D1"/>
    <w:rsid w:val="00190A40"/>
    <w:rsid w:val="00190B56"/>
    <w:rsid w:val="001915D5"/>
    <w:rsid w:val="00191960"/>
    <w:rsid w:val="00191D23"/>
    <w:rsid w:val="00191FD2"/>
    <w:rsid w:val="001921D0"/>
    <w:rsid w:val="0019228D"/>
    <w:rsid w:val="0019237B"/>
    <w:rsid w:val="00192959"/>
    <w:rsid w:val="00192E66"/>
    <w:rsid w:val="00192E6D"/>
    <w:rsid w:val="001930A0"/>
    <w:rsid w:val="001931C8"/>
    <w:rsid w:val="00193F18"/>
    <w:rsid w:val="00194733"/>
    <w:rsid w:val="00194B6C"/>
    <w:rsid w:val="00194BE1"/>
    <w:rsid w:val="001951FE"/>
    <w:rsid w:val="00195DCE"/>
    <w:rsid w:val="001966C4"/>
    <w:rsid w:val="00196E71"/>
    <w:rsid w:val="0019723B"/>
    <w:rsid w:val="001976C4"/>
    <w:rsid w:val="0019772E"/>
    <w:rsid w:val="00197A5F"/>
    <w:rsid w:val="00197EA3"/>
    <w:rsid w:val="001A005B"/>
    <w:rsid w:val="001A006F"/>
    <w:rsid w:val="001A00D8"/>
    <w:rsid w:val="001A0526"/>
    <w:rsid w:val="001A0799"/>
    <w:rsid w:val="001A0992"/>
    <w:rsid w:val="001A1A04"/>
    <w:rsid w:val="001A1CF2"/>
    <w:rsid w:val="001A1ED1"/>
    <w:rsid w:val="001A338A"/>
    <w:rsid w:val="001A3609"/>
    <w:rsid w:val="001A4A4C"/>
    <w:rsid w:val="001A4B76"/>
    <w:rsid w:val="001A4FB3"/>
    <w:rsid w:val="001A5091"/>
    <w:rsid w:val="001A5162"/>
    <w:rsid w:val="001A551A"/>
    <w:rsid w:val="001A57DA"/>
    <w:rsid w:val="001A5D27"/>
    <w:rsid w:val="001A5E80"/>
    <w:rsid w:val="001A5F9B"/>
    <w:rsid w:val="001A6AED"/>
    <w:rsid w:val="001A73B0"/>
    <w:rsid w:val="001A74E6"/>
    <w:rsid w:val="001A7558"/>
    <w:rsid w:val="001A7735"/>
    <w:rsid w:val="001A78A1"/>
    <w:rsid w:val="001A7AA2"/>
    <w:rsid w:val="001A7BC5"/>
    <w:rsid w:val="001A7F14"/>
    <w:rsid w:val="001B004C"/>
    <w:rsid w:val="001B0097"/>
    <w:rsid w:val="001B0679"/>
    <w:rsid w:val="001B0841"/>
    <w:rsid w:val="001B08C3"/>
    <w:rsid w:val="001B0B7B"/>
    <w:rsid w:val="001B0D08"/>
    <w:rsid w:val="001B11F3"/>
    <w:rsid w:val="001B14A4"/>
    <w:rsid w:val="001B1943"/>
    <w:rsid w:val="001B1977"/>
    <w:rsid w:val="001B1D59"/>
    <w:rsid w:val="001B1F52"/>
    <w:rsid w:val="001B2DD5"/>
    <w:rsid w:val="001B2F36"/>
    <w:rsid w:val="001B3148"/>
    <w:rsid w:val="001B3497"/>
    <w:rsid w:val="001B38E2"/>
    <w:rsid w:val="001B3906"/>
    <w:rsid w:val="001B3ADE"/>
    <w:rsid w:val="001B3B00"/>
    <w:rsid w:val="001B3B3C"/>
    <w:rsid w:val="001B43BB"/>
    <w:rsid w:val="001B4591"/>
    <w:rsid w:val="001B483C"/>
    <w:rsid w:val="001B5903"/>
    <w:rsid w:val="001B5E88"/>
    <w:rsid w:val="001B66F7"/>
    <w:rsid w:val="001B68DF"/>
    <w:rsid w:val="001B6E2F"/>
    <w:rsid w:val="001B6E6A"/>
    <w:rsid w:val="001B7048"/>
    <w:rsid w:val="001B7AB5"/>
    <w:rsid w:val="001B7C33"/>
    <w:rsid w:val="001B7FFE"/>
    <w:rsid w:val="001C0264"/>
    <w:rsid w:val="001C0B63"/>
    <w:rsid w:val="001C0C1E"/>
    <w:rsid w:val="001C0CF6"/>
    <w:rsid w:val="001C0D0C"/>
    <w:rsid w:val="001C1A38"/>
    <w:rsid w:val="001C1AF1"/>
    <w:rsid w:val="001C1DAD"/>
    <w:rsid w:val="001C2598"/>
    <w:rsid w:val="001C25D2"/>
    <w:rsid w:val="001C2EF2"/>
    <w:rsid w:val="001C2F10"/>
    <w:rsid w:val="001C2FA3"/>
    <w:rsid w:val="001C36E7"/>
    <w:rsid w:val="001C3922"/>
    <w:rsid w:val="001C3C58"/>
    <w:rsid w:val="001C3CD2"/>
    <w:rsid w:val="001C3FA5"/>
    <w:rsid w:val="001C4288"/>
    <w:rsid w:val="001C4880"/>
    <w:rsid w:val="001C4CD8"/>
    <w:rsid w:val="001C50F6"/>
    <w:rsid w:val="001C572A"/>
    <w:rsid w:val="001C6024"/>
    <w:rsid w:val="001C68AA"/>
    <w:rsid w:val="001C6967"/>
    <w:rsid w:val="001C6C67"/>
    <w:rsid w:val="001C6E8A"/>
    <w:rsid w:val="001C6FCA"/>
    <w:rsid w:val="001C7323"/>
    <w:rsid w:val="001C7467"/>
    <w:rsid w:val="001C77A3"/>
    <w:rsid w:val="001C7A46"/>
    <w:rsid w:val="001C7B55"/>
    <w:rsid w:val="001D02E0"/>
    <w:rsid w:val="001D03DA"/>
    <w:rsid w:val="001D09CE"/>
    <w:rsid w:val="001D0B58"/>
    <w:rsid w:val="001D0DE0"/>
    <w:rsid w:val="001D0EDB"/>
    <w:rsid w:val="001D0F6F"/>
    <w:rsid w:val="001D11D1"/>
    <w:rsid w:val="001D2003"/>
    <w:rsid w:val="001D20B1"/>
    <w:rsid w:val="001D25F4"/>
    <w:rsid w:val="001D2607"/>
    <w:rsid w:val="001D2C05"/>
    <w:rsid w:val="001D2F8B"/>
    <w:rsid w:val="001D3049"/>
    <w:rsid w:val="001D3899"/>
    <w:rsid w:val="001D3A97"/>
    <w:rsid w:val="001D42DB"/>
    <w:rsid w:val="001D4D16"/>
    <w:rsid w:val="001D5231"/>
    <w:rsid w:val="001D5271"/>
    <w:rsid w:val="001D53DD"/>
    <w:rsid w:val="001D5D98"/>
    <w:rsid w:val="001D6106"/>
    <w:rsid w:val="001D6651"/>
    <w:rsid w:val="001D6687"/>
    <w:rsid w:val="001D6C45"/>
    <w:rsid w:val="001D6C9F"/>
    <w:rsid w:val="001D7455"/>
    <w:rsid w:val="001D7683"/>
    <w:rsid w:val="001D7BF0"/>
    <w:rsid w:val="001E036F"/>
    <w:rsid w:val="001E044D"/>
    <w:rsid w:val="001E05A9"/>
    <w:rsid w:val="001E072F"/>
    <w:rsid w:val="001E0D39"/>
    <w:rsid w:val="001E0E3E"/>
    <w:rsid w:val="001E0EC2"/>
    <w:rsid w:val="001E1930"/>
    <w:rsid w:val="001E1BA0"/>
    <w:rsid w:val="001E1EF8"/>
    <w:rsid w:val="001E2594"/>
    <w:rsid w:val="001E25FD"/>
    <w:rsid w:val="001E2B23"/>
    <w:rsid w:val="001E2EE3"/>
    <w:rsid w:val="001E30FE"/>
    <w:rsid w:val="001E37AA"/>
    <w:rsid w:val="001E380D"/>
    <w:rsid w:val="001E395C"/>
    <w:rsid w:val="001E3CEA"/>
    <w:rsid w:val="001E3D45"/>
    <w:rsid w:val="001E4119"/>
    <w:rsid w:val="001E417F"/>
    <w:rsid w:val="001E46B6"/>
    <w:rsid w:val="001E4B69"/>
    <w:rsid w:val="001E4D97"/>
    <w:rsid w:val="001E4FF3"/>
    <w:rsid w:val="001E501E"/>
    <w:rsid w:val="001E503A"/>
    <w:rsid w:val="001E5A01"/>
    <w:rsid w:val="001E5D95"/>
    <w:rsid w:val="001E6267"/>
    <w:rsid w:val="001E66E2"/>
    <w:rsid w:val="001E7DAD"/>
    <w:rsid w:val="001E7E43"/>
    <w:rsid w:val="001F08A7"/>
    <w:rsid w:val="001F103F"/>
    <w:rsid w:val="001F1545"/>
    <w:rsid w:val="001F1602"/>
    <w:rsid w:val="001F1B99"/>
    <w:rsid w:val="001F1D65"/>
    <w:rsid w:val="001F2209"/>
    <w:rsid w:val="001F2532"/>
    <w:rsid w:val="001F2A90"/>
    <w:rsid w:val="001F342A"/>
    <w:rsid w:val="001F357B"/>
    <w:rsid w:val="001F3865"/>
    <w:rsid w:val="001F3A1E"/>
    <w:rsid w:val="001F3C9E"/>
    <w:rsid w:val="001F3CD1"/>
    <w:rsid w:val="001F3EEE"/>
    <w:rsid w:val="001F3FB1"/>
    <w:rsid w:val="001F420B"/>
    <w:rsid w:val="001F429D"/>
    <w:rsid w:val="001F50A4"/>
    <w:rsid w:val="001F5606"/>
    <w:rsid w:val="001F57A6"/>
    <w:rsid w:val="001F5B2C"/>
    <w:rsid w:val="001F61F3"/>
    <w:rsid w:val="001F65A1"/>
    <w:rsid w:val="001F6876"/>
    <w:rsid w:val="001F6F03"/>
    <w:rsid w:val="001F6FDD"/>
    <w:rsid w:val="001F73E6"/>
    <w:rsid w:val="001F7571"/>
    <w:rsid w:val="001F7C5C"/>
    <w:rsid w:val="001F7CBE"/>
    <w:rsid w:val="00200046"/>
    <w:rsid w:val="002002EF"/>
    <w:rsid w:val="00200B2A"/>
    <w:rsid w:val="00200EA1"/>
    <w:rsid w:val="00201613"/>
    <w:rsid w:val="0020199C"/>
    <w:rsid w:val="00201E67"/>
    <w:rsid w:val="00202078"/>
    <w:rsid w:val="00202784"/>
    <w:rsid w:val="00202C89"/>
    <w:rsid w:val="002030FF"/>
    <w:rsid w:val="0020338D"/>
    <w:rsid w:val="00203AC7"/>
    <w:rsid w:val="002042E0"/>
    <w:rsid w:val="002046EC"/>
    <w:rsid w:val="0020477D"/>
    <w:rsid w:val="002047DA"/>
    <w:rsid w:val="00205060"/>
    <w:rsid w:val="0020549F"/>
    <w:rsid w:val="002054EF"/>
    <w:rsid w:val="00205665"/>
    <w:rsid w:val="00205D8F"/>
    <w:rsid w:val="00206056"/>
    <w:rsid w:val="00206106"/>
    <w:rsid w:val="002068AA"/>
    <w:rsid w:val="00206A6A"/>
    <w:rsid w:val="00207140"/>
    <w:rsid w:val="00207219"/>
    <w:rsid w:val="00207475"/>
    <w:rsid w:val="002074BC"/>
    <w:rsid w:val="0020797A"/>
    <w:rsid w:val="00210504"/>
    <w:rsid w:val="00210E97"/>
    <w:rsid w:val="00211394"/>
    <w:rsid w:val="0021176D"/>
    <w:rsid w:val="00211EB3"/>
    <w:rsid w:val="002126F0"/>
    <w:rsid w:val="002127A4"/>
    <w:rsid w:val="002130BB"/>
    <w:rsid w:val="002131B0"/>
    <w:rsid w:val="002131B1"/>
    <w:rsid w:val="0021355D"/>
    <w:rsid w:val="00213E8F"/>
    <w:rsid w:val="00213F60"/>
    <w:rsid w:val="0021407D"/>
    <w:rsid w:val="00214EF3"/>
    <w:rsid w:val="0021520A"/>
    <w:rsid w:val="00215A89"/>
    <w:rsid w:val="00215CD6"/>
    <w:rsid w:val="00215EA4"/>
    <w:rsid w:val="002163D2"/>
    <w:rsid w:val="0021651B"/>
    <w:rsid w:val="00216C13"/>
    <w:rsid w:val="0021723C"/>
    <w:rsid w:val="0021766A"/>
    <w:rsid w:val="002176CC"/>
    <w:rsid w:val="002178F8"/>
    <w:rsid w:val="002179EB"/>
    <w:rsid w:val="00220171"/>
    <w:rsid w:val="0022022F"/>
    <w:rsid w:val="0022067D"/>
    <w:rsid w:val="002206D1"/>
    <w:rsid w:val="002207A5"/>
    <w:rsid w:val="002207DF"/>
    <w:rsid w:val="00220C03"/>
    <w:rsid w:val="00220FB8"/>
    <w:rsid w:val="002210C6"/>
    <w:rsid w:val="0022173F"/>
    <w:rsid w:val="00222252"/>
    <w:rsid w:val="002227E6"/>
    <w:rsid w:val="002229EA"/>
    <w:rsid w:val="00222D15"/>
    <w:rsid w:val="00223445"/>
    <w:rsid w:val="00223BDF"/>
    <w:rsid w:val="00225039"/>
    <w:rsid w:val="002250FA"/>
    <w:rsid w:val="00225207"/>
    <w:rsid w:val="00225303"/>
    <w:rsid w:val="00225328"/>
    <w:rsid w:val="0022537F"/>
    <w:rsid w:val="00225C11"/>
    <w:rsid w:val="00225E86"/>
    <w:rsid w:val="002260E7"/>
    <w:rsid w:val="0022630C"/>
    <w:rsid w:val="00226936"/>
    <w:rsid w:val="002270BC"/>
    <w:rsid w:val="002276CE"/>
    <w:rsid w:val="00227B92"/>
    <w:rsid w:val="00227C87"/>
    <w:rsid w:val="00230D09"/>
    <w:rsid w:val="0023116A"/>
    <w:rsid w:val="002318FA"/>
    <w:rsid w:val="00231B91"/>
    <w:rsid w:val="00231DC6"/>
    <w:rsid w:val="00233E55"/>
    <w:rsid w:val="0023414C"/>
    <w:rsid w:val="002347B6"/>
    <w:rsid w:val="00234906"/>
    <w:rsid w:val="00234B52"/>
    <w:rsid w:val="00235047"/>
    <w:rsid w:val="00235B8E"/>
    <w:rsid w:val="00235C1B"/>
    <w:rsid w:val="00235D79"/>
    <w:rsid w:val="00236810"/>
    <w:rsid w:val="00236E05"/>
    <w:rsid w:val="002372D4"/>
    <w:rsid w:val="00237493"/>
    <w:rsid w:val="00237697"/>
    <w:rsid w:val="002377D8"/>
    <w:rsid w:val="002379BB"/>
    <w:rsid w:val="00237C88"/>
    <w:rsid w:val="002405FA"/>
    <w:rsid w:val="00240BCF"/>
    <w:rsid w:val="00241122"/>
    <w:rsid w:val="0024125C"/>
    <w:rsid w:val="002412D1"/>
    <w:rsid w:val="0024167B"/>
    <w:rsid w:val="00241CF2"/>
    <w:rsid w:val="0024203B"/>
    <w:rsid w:val="00242AB7"/>
    <w:rsid w:val="00242AF8"/>
    <w:rsid w:val="00242C8A"/>
    <w:rsid w:val="00242E05"/>
    <w:rsid w:val="00243B32"/>
    <w:rsid w:val="002442A5"/>
    <w:rsid w:val="00244456"/>
    <w:rsid w:val="002454E9"/>
    <w:rsid w:val="0024560E"/>
    <w:rsid w:val="002459D1"/>
    <w:rsid w:val="0024633D"/>
    <w:rsid w:val="0024663F"/>
    <w:rsid w:val="00246AAA"/>
    <w:rsid w:val="00246D39"/>
    <w:rsid w:val="00246F70"/>
    <w:rsid w:val="00247D15"/>
    <w:rsid w:val="00250BD0"/>
    <w:rsid w:val="00250C59"/>
    <w:rsid w:val="00250E41"/>
    <w:rsid w:val="002515F8"/>
    <w:rsid w:val="00251698"/>
    <w:rsid w:val="00252099"/>
    <w:rsid w:val="00252548"/>
    <w:rsid w:val="0025254B"/>
    <w:rsid w:val="00252649"/>
    <w:rsid w:val="00252827"/>
    <w:rsid w:val="0025299A"/>
    <w:rsid w:val="00252EB9"/>
    <w:rsid w:val="00252F25"/>
    <w:rsid w:val="00252FEE"/>
    <w:rsid w:val="002530EC"/>
    <w:rsid w:val="002532C5"/>
    <w:rsid w:val="002537F1"/>
    <w:rsid w:val="00253867"/>
    <w:rsid w:val="00253A99"/>
    <w:rsid w:val="00253BE0"/>
    <w:rsid w:val="00254001"/>
    <w:rsid w:val="00254172"/>
    <w:rsid w:val="00254424"/>
    <w:rsid w:val="00254ABB"/>
    <w:rsid w:val="00254D4F"/>
    <w:rsid w:val="00254E99"/>
    <w:rsid w:val="00255AD5"/>
    <w:rsid w:val="00255B97"/>
    <w:rsid w:val="002562CD"/>
    <w:rsid w:val="002564C1"/>
    <w:rsid w:val="00256AF0"/>
    <w:rsid w:val="002571A2"/>
    <w:rsid w:val="00257864"/>
    <w:rsid w:val="00257B6C"/>
    <w:rsid w:val="00257D32"/>
    <w:rsid w:val="00257EF9"/>
    <w:rsid w:val="002603CD"/>
    <w:rsid w:val="0026046E"/>
    <w:rsid w:val="002605E0"/>
    <w:rsid w:val="002606AA"/>
    <w:rsid w:val="0026092D"/>
    <w:rsid w:val="0026129A"/>
    <w:rsid w:val="002613F0"/>
    <w:rsid w:val="0026199F"/>
    <w:rsid w:val="00261A6E"/>
    <w:rsid w:val="00261EAD"/>
    <w:rsid w:val="00262A2E"/>
    <w:rsid w:val="00262C53"/>
    <w:rsid w:val="00262FA7"/>
    <w:rsid w:val="00263146"/>
    <w:rsid w:val="002639F3"/>
    <w:rsid w:val="00263A1E"/>
    <w:rsid w:val="00263C01"/>
    <w:rsid w:val="00264139"/>
    <w:rsid w:val="0026449E"/>
    <w:rsid w:val="002647DE"/>
    <w:rsid w:val="002654DA"/>
    <w:rsid w:val="002655A4"/>
    <w:rsid w:val="00265A55"/>
    <w:rsid w:val="00265B1F"/>
    <w:rsid w:val="00265B9C"/>
    <w:rsid w:val="00265E91"/>
    <w:rsid w:val="00266198"/>
    <w:rsid w:val="0026625F"/>
    <w:rsid w:val="00266B21"/>
    <w:rsid w:val="00266C53"/>
    <w:rsid w:val="00266D92"/>
    <w:rsid w:val="00267479"/>
    <w:rsid w:val="002676AC"/>
    <w:rsid w:val="00267ADA"/>
    <w:rsid w:val="002705EF"/>
    <w:rsid w:val="002709E2"/>
    <w:rsid w:val="00270C46"/>
    <w:rsid w:val="00270F24"/>
    <w:rsid w:val="00271B92"/>
    <w:rsid w:val="00271E0B"/>
    <w:rsid w:val="00272045"/>
    <w:rsid w:val="0027239B"/>
    <w:rsid w:val="00272552"/>
    <w:rsid w:val="00272D5D"/>
    <w:rsid w:val="00272E4B"/>
    <w:rsid w:val="002733BE"/>
    <w:rsid w:val="0027362A"/>
    <w:rsid w:val="00273B5D"/>
    <w:rsid w:val="00273DFC"/>
    <w:rsid w:val="00273E41"/>
    <w:rsid w:val="002742CD"/>
    <w:rsid w:val="0027453B"/>
    <w:rsid w:val="00275B48"/>
    <w:rsid w:val="00275F2C"/>
    <w:rsid w:val="00276563"/>
    <w:rsid w:val="00276784"/>
    <w:rsid w:val="002767EA"/>
    <w:rsid w:val="00276E2A"/>
    <w:rsid w:val="0027729E"/>
    <w:rsid w:val="0027733F"/>
    <w:rsid w:val="0027757C"/>
    <w:rsid w:val="00277ED3"/>
    <w:rsid w:val="002801B8"/>
    <w:rsid w:val="002803F0"/>
    <w:rsid w:val="00280643"/>
    <w:rsid w:val="002809B2"/>
    <w:rsid w:val="00280A30"/>
    <w:rsid w:val="00280AA7"/>
    <w:rsid w:val="00280D7B"/>
    <w:rsid w:val="002818CE"/>
    <w:rsid w:val="00281CA6"/>
    <w:rsid w:val="00281EBA"/>
    <w:rsid w:val="0028230F"/>
    <w:rsid w:val="00283085"/>
    <w:rsid w:val="002836FA"/>
    <w:rsid w:val="0028371E"/>
    <w:rsid w:val="002846C7"/>
    <w:rsid w:val="0028494A"/>
    <w:rsid w:val="00284B20"/>
    <w:rsid w:val="00284E54"/>
    <w:rsid w:val="0028596E"/>
    <w:rsid w:val="00285DCA"/>
    <w:rsid w:val="00285ED2"/>
    <w:rsid w:val="00286034"/>
    <w:rsid w:val="00286673"/>
    <w:rsid w:val="0028680B"/>
    <w:rsid w:val="0028687B"/>
    <w:rsid w:val="0028721A"/>
    <w:rsid w:val="002875FE"/>
    <w:rsid w:val="00287CF7"/>
    <w:rsid w:val="00287D31"/>
    <w:rsid w:val="00290116"/>
    <w:rsid w:val="0029029A"/>
    <w:rsid w:val="0029039B"/>
    <w:rsid w:val="00291276"/>
    <w:rsid w:val="0029138D"/>
    <w:rsid w:val="002918FD"/>
    <w:rsid w:val="00291BF1"/>
    <w:rsid w:val="00291DCF"/>
    <w:rsid w:val="002920D7"/>
    <w:rsid w:val="002928CA"/>
    <w:rsid w:val="0029328B"/>
    <w:rsid w:val="00293569"/>
    <w:rsid w:val="00293923"/>
    <w:rsid w:val="00293ABF"/>
    <w:rsid w:val="00293E8F"/>
    <w:rsid w:val="0029426E"/>
    <w:rsid w:val="002946D4"/>
    <w:rsid w:val="002946E6"/>
    <w:rsid w:val="00294A11"/>
    <w:rsid w:val="00294BDB"/>
    <w:rsid w:val="002956A6"/>
    <w:rsid w:val="00295A6A"/>
    <w:rsid w:val="00295C26"/>
    <w:rsid w:val="00296159"/>
    <w:rsid w:val="002964B0"/>
    <w:rsid w:val="00296BC5"/>
    <w:rsid w:val="00296C26"/>
    <w:rsid w:val="00297062"/>
    <w:rsid w:val="002971DF"/>
    <w:rsid w:val="00297812"/>
    <w:rsid w:val="00297C22"/>
    <w:rsid w:val="002A0208"/>
    <w:rsid w:val="002A0500"/>
    <w:rsid w:val="002A0706"/>
    <w:rsid w:val="002A0C46"/>
    <w:rsid w:val="002A10C2"/>
    <w:rsid w:val="002A188F"/>
    <w:rsid w:val="002A1CF7"/>
    <w:rsid w:val="002A21EC"/>
    <w:rsid w:val="002A2681"/>
    <w:rsid w:val="002A2691"/>
    <w:rsid w:val="002A272A"/>
    <w:rsid w:val="002A29C2"/>
    <w:rsid w:val="002A331F"/>
    <w:rsid w:val="002A3614"/>
    <w:rsid w:val="002A3B42"/>
    <w:rsid w:val="002A3FA8"/>
    <w:rsid w:val="002A4125"/>
    <w:rsid w:val="002A4226"/>
    <w:rsid w:val="002A4422"/>
    <w:rsid w:val="002A4442"/>
    <w:rsid w:val="002A4605"/>
    <w:rsid w:val="002A4A8C"/>
    <w:rsid w:val="002A4C01"/>
    <w:rsid w:val="002A4FB2"/>
    <w:rsid w:val="002A511A"/>
    <w:rsid w:val="002A5474"/>
    <w:rsid w:val="002A547E"/>
    <w:rsid w:val="002A58C3"/>
    <w:rsid w:val="002A61EB"/>
    <w:rsid w:val="002A6A7A"/>
    <w:rsid w:val="002A6BB7"/>
    <w:rsid w:val="002A6D10"/>
    <w:rsid w:val="002A729B"/>
    <w:rsid w:val="002A7425"/>
    <w:rsid w:val="002A747C"/>
    <w:rsid w:val="002A7501"/>
    <w:rsid w:val="002A78E7"/>
    <w:rsid w:val="002A79D2"/>
    <w:rsid w:val="002A7F5A"/>
    <w:rsid w:val="002B06B5"/>
    <w:rsid w:val="002B0867"/>
    <w:rsid w:val="002B09E3"/>
    <w:rsid w:val="002B0BBF"/>
    <w:rsid w:val="002B0BC0"/>
    <w:rsid w:val="002B0BCE"/>
    <w:rsid w:val="002B0E4B"/>
    <w:rsid w:val="002B10E9"/>
    <w:rsid w:val="002B1227"/>
    <w:rsid w:val="002B148F"/>
    <w:rsid w:val="002B1A17"/>
    <w:rsid w:val="002B28E5"/>
    <w:rsid w:val="002B29E6"/>
    <w:rsid w:val="002B2DCF"/>
    <w:rsid w:val="002B38EB"/>
    <w:rsid w:val="002B3ED6"/>
    <w:rsid w:val="002B435A"/>
    <w:rsid w:val="002B4A0E"/>
    <w:rsid w:val="002B4CCE"/>
    <w:rsid w:val="002B5356"/>
    <w:rsid w:val="002B5503"/>
    <w:rsid w:val="002B5623"/>
    <w:rsid w:val="002B56B3"/>
    <w:rsid w:val="002B5722"/>
    <w:rsid w:val="002B586A"/>
    <w:rsid w:val="002B5DB4"/>
    <w:rsid w:val="002B5F0D"/>
    <w:rsid w:val="002B612A"/>
    <w:rsid w:val="002B6A3E"/>
    <w:rsid w:val="002B6D44"/>
    <w:rsid w:val="002B6D80"/>
    <w:rsid w:val="002B6D83"/>
    <w:rsid w:val="002B7854"/>
    <w:rsid w:val="002B7ECA"/>
    <w:rsid w:val="002B7EF0"/>
    <w:rsid w:val="002C0140"/>
    <w:rsid w:val="002C05BB"/>
    <w:rsid w:val="002C0738"/>
    <w:rsid w:val="002C12BA"/>
    <w:rsid w:val="002C17C7"/>
    <w:rsid w:val="002C2061"/>
    <w:rsid w:val="002C2F88"/>
    <w:rsid w:val="002C3055"/>
    <w:rsid w:val="002C3DBB"/>
    <w:rsid w:val="002C43A4"/>
    <w:rsid w:val="002C4518"/>
    <w:rsid w:val="002C46B4"/>
    <w:rsid w:val="002C497D"/>
    <w:rsid w:val="002C4B1D"/>
    <w:rsid w:val="002C4E2F"/>
    <w:rsid w:val="002C506B"/>
    <w:rsid w:val="002C5276"/>
    <w:rsid w:val="002C5711"/>
    <w:rsid w:val="002C590C"/>
    <w:rsid w:val="002C5A93"/>
    <w:rsid w:val="002C6190"/>
    <w:rsid w:val="002C628B"/>
    <w:rsid w:val="002C66D4"/>
    <w:rsid w:val="002C7115"/>
    <w:rsid w:val="002C71A2"/>
    <w:rsid w:val="002D00C9"/>
    <w:rsid w:val="002D0736"/>
    <w:rsid w:val="002D0914"/>
    <w:rsid w:val="002D0915"/>
    <w:rsid w:val="002D1148"/>
    <w:rsid w:val="002D11CD"/>
    <w:rsid w:val="002D1410"/>
    <w:rsid w:val="002D167C"/>
    <w:rsid w:val="002D1B8A"/>
    <w:rsid w:val="002D1E79"/>
    <w:rsid w:val="002D2080"/>
    <w:rsid w:val="002D20D4"/>
    <w:rsid w:val="002D22F3"/>
    <w:rsid w:val="002D2688"/>
    <w:rsid w:val="002D2ADD"/>
    <w:rsid w:val="002D3389"/>
    <w:rsid w:val="002D38DA"/>
    <w:rsid w:val="002D3F76"/>
    <w:rsid w:val="002D4490"/>
    <w:rsid w:val="002D4929"/>
    <w:rsid w:val="002D4A67"/>
    <w:rsid w:val="002D4B09"/>
    <w:rsid w:val="002D4DA7"/>
    <w:rsid w:val="002D53E3"/>
    <w:rsid w:val="002D55B0"/>
    <w:rsid w:val="002D5662"/>
    <w:rsid w:val="002D5AD7"/>
    <w:rsid w:val="002D6241"/>
    <w:rsid w:val="002D63CF"/>
    <w:rsid w:val="002D6927"/>
    <w:rsid w:val="002D6AEB"/>
    <w:rsid w:val="002D6BB3"/>
    <w:rsid w:val="002D6CEB"/>
    <w:rsid w:val="002D75C7"/>
    <w:rsid w:val="002D7ADC"/>
    <w:rsid w:val="002D7EE5"/>
    <w:rsid w:val="002E0091"/>
    <w:rsid w:val="002E0362"/>
    <w:rsid w:val="002E0B53"/>
    <w:rsid w:val="002E0CAF"/>
    <w:rsid w:val="002E0EDF"/>
    <w:rsid w:val="002E1031"/>
    <w:rsid w:val="002E11DA"/>
    <w:rsid w:val="002E1D96"/>
    <w:rsid w:val="002E2231"/>
    <w:rsid w:val="002E2697"/>
    <w:rsid w:val="002E26DF"/>
    <w:rsid w:val="002E28A2"/>
    <w:rsid w:val="002E3604"/>
    <w:rsid w:val="002E3B2E"/>
    <w:rsid w:val="002E46CC"/>
    <w:rsid w:val="002E4AB6"/>
    <w:rsid w:val="002E4BAE"/>
    <w:rsid w:val="002E4CAC"/>
    <w:rsid w:val="002E4CCA"/>
    <w:rsid w:val="002E5A7D"/>
    <w:rsid w:val="002E6099"/>
    <w:rsid w:val="002E620D"/>
    <w:rsid w:val="002E6598"/>
    <w:rsid w:val="002E66E9"/>
    <w:rsid w:val="002E689E"/>
    <w:rsid w:val="002E6DAA"/>
    <w:rsid w:val="002E6EA6"/>
    <w:rsid w:val="002E6F70"/>
    <w:rsid w:val="002E7B86"/>
    <w:rsid w:val="002F0001"/>
    <w:rsid w:val="002F0569"/>
    <w:rsid w:val="002F07EB"/>
    <w:rsid w:val="002F08C8"/>
    <w:rsid w:val="002F09CE"/>
    <w:rsid w:val="002F0A88"/>
    <w:rsid w:val="002F0B85"/>
    <w:rsid w:val="002F0C58"/>
    <w:rsid w:val="002F0C99"/>
    <w:rsid w:val="002F0D33"/>
    <w:rsid w:val="002F138C"/>
    <w:rsid w:val="002F1BBD"/>
    <w:rsid w:val="002F1EAC"/>
    <w:rsid w:val="002F203C"/>
    <w:rsid w:val="002F22F8"/>
    <w:rsid w:val="002F3AEB"/>
    <w:rsid w:val="002F4057"/>
    <w:rsid w:val="002F4418"/>
    <w:rsid w:val="002F44A7"/>
    <w:rsid w:val="002F452C"/>
    <w:rsid w:val="002F45C7"/>
    <w:rsid w:val="002F4633"/>
    <w:rsid w:val="002F4AEE"/>
    <w:rsid w:val="002F4D3A"/>
    <w:rsid w:val="002F5063"/>
    <w:rsid w:val="002F51BD"/>
    <w:rsid w:val="002F53DD"/>
    <w:rsid w:val="002F69F2"/>
    <w:rsid w:val="002F6A6C"/>
    <w:rsid w:val="002F6E57"/>
    <w:rsid w:val="002F733F"/>
    <w:rsid w:val="002F7711"/>
    <w:rsid w:val="002F7B07"/>
    <w:rsid w:val="002F7E10"/>
    <w:rsid w:val="00300167"/>
    <w:rsid w:val="0030038F"/>
    <w:rsid w:val="00300A81"/>
    <w:rsid w:val="00301124"/>
    <w:rsid w:val="0030335B"/>
    <w:rsid w:val="00303D54"/>
    <w:rsid w:val="00304298"/>
    <w:rsid w:val="003043DE"/>
    <w:rsid w:val="0030472C"/>
    <w:rsid w:val="003047D1"/>
    <w:rsid w:val="00304839"/>
    <w:rsid w:val="00304B90"/>
    <w:rsid w:val="00305113"/>
    <w:rsid w:val="00305D61"/>
    <w:rsid w:val="00305D95"/>
    <w:rsid w:val="0030615C"/>
    <w:rsid w:val="003062FE"/>
    <w:rsid w:val="00306539"/>
    <w:rsid w:val="003069AE"/>
    <w:rsid w:val="003069C2"/>
    <w:rsid w:val="00306ACC"/>
    <w:rsid w:val="00306FCE"/>
    <w:rsid w:val="00307246"/>
    <w:rsid w:val="0030755F"/>
    <w:rsid w:val="0030795E"/>
    <w:rsid w:val="00307B12"/>
    <w:rsid w:val="00310177"/>
    <w:rsid w:val="0031049F"/>
    <w:rsid w:val="003105DA"/>
    <w:rsid w:val="003105F7"/>
    <w:rsid w:val="00310D4D"/>
    <w:rsid w:val="00310F16"/>
    <w:rsid w:val="003110A9"/>
    <w:rsid w:val="0031121F"/>
    <w:rsid w:val="00311422"/>
    <w:rsid w:val="00312EF2"/>
    <w:rsid w:val="003135B0"/>
    <w:rsid w:val="00313D7B"/>
    <w:rsid w:val="00313FCC"/>
    <w:rsid w:val="00314249"/>
    <w:rsid w:val="00314872"/>
    <w:rsid w:val="00314A2E"/>
    <w:rsid w:val="00314EF0"/>
    <w:rsid w:val="003158FE"/>
    <w:rsid w:val="00316027"/>
    <w:rsid w:val="003161D7"/>
    <w:rsid w:val="00316876"/>
    <w:rsid w:val="00316B63"/>
    <w:rsid w:val="00316EC1"/>
    <w:rsid w:val="0031706C"/>
    <w:rsid w:val="0031751F"/>
    <w:rsid w:val="00317766"/>
    <w:rsid w:val="00320162"/>
    <w:rsid w:val="00320174"/>
    <w:rsid w:val="00320627"/>
    <w:rsid w:val="00320A01"/>
    <w:rsid w:val="00320A62"/>
    <w:rsid w:val="0032102D"/>
    <w:rsid w:val="003211ED"/>
    <w:rsid w:val="003214D1"/>
    <w:rsid w:val="003218D3"/>
    <w:rsid w:val="00322A77"/>
    <w:rsid w:val="00323016"/>
    <w:rsid w:val="003230C1"/>
    <w:rsid w:val="00323199"/>
    <w:rsid w:val="003233A2"/>
    <w:rsid w:val="00323656"/>
    <w:rsid w:val="0032372A"/>
    <w:rsid w:val="00323944"/>
    <w:rsid w:val="00323A3D"/>
    <w:rsid w:val="00323A51"/>
    <w:rsid w:val="00324099"/>
    <w:rsid w:val="0032416F"/>
    <w:rsid w:val="00324271"/>
    <w:rsid w:val="00324796"/>
    <w:rsid w:val="00324CFF"/>
    <w:rsid w:val="00324E44"/>
    <w:rsid w:val="00325033"/>
    <w:rsid w:val="00325B64"/>
    <w:rsid w:val="0032687E"/>
    <w:rsid w:val="00326D35"/>
    <w:rsid w:val="00326E7E"/>
    <w:rsid w:val="00327070"/>
    <w:rsid w:val="003271FC"/>
    <w:rsid w:val="0032760C"/>
    <w:rsid w:val="00327B06"/>
    <w:rsid w:val="00327E10"/>
    <w:rsid w:val="003301B8"/>
    <w:rsid w:val="0033026B"/>
    <w:rsid w:val="00330738"/>
    <w:rsid w:val="00330C1A"/>
    <w:rsid w:val="003313E2"/>
    <w:rsid w:val="00331972"/>
    <w:rsid w:val="00331B8A"/>
    <w:rsid w:val="00331CC5"/>
    <w:rsid w:val="00331D63"/>
    <w:rsid w:val="003321FB"/>
    <w:rsid w:val="0033236C"/>
    <w:rsid w:val="00332A53"/>
    <w:rsid w:val="00332AFA"/>
    <w:rsid w:val="0033304A"/>
    <w:rsid w:val="00333102"/>
    <w:rsid w:val="00333182"/>
    <w:rsid w:val="003332F6"/>
    <w:rsid w:val="00333826"/>
    <w:rsid w:val="0033396D"/>
    <w:rsid w:val="00333AA1"/>
    <w:rsid w:val="00333B5F"/>
    <w:rsid w:val="00333C4D"/>
    <w:rsid w:val="00333D43"/>
    <w:rsid w:val="00333DB7"/>
    <w:rsid w:val="00333EDF"/>
    <w:rsid w:val="00334257"/>
    <w:rsid w:val="00334490"/>
    <w:rsid w:val="00334AE2"/>
    <w:rsid w:val="00334B97"/>
    <w:rsid w:val="00334D12"/>
    <w:rsid w:val="00335418"/>
    <w:rsid w:val="00335434"/>
    <w:rsid w:val="00335508"/>
    <w:rsid w:val="00335831"/>
    <w:rsid w:val="00335A6E"/>
    <w:rsid w:val="00335E09"/>
    <w:rsid w:val="00335F64"/>
    <w:rsid w:val="00336229"/>
    <w:rsid w:val="00336314"/>
    <w:rsid w:val="00336FE3"/>
    <w:rsid w:val="00337185"/>
    <w:rsid w:val="003376B0"/>
    <w:rsid w:val="00337B89"/>
    <w:rsid w:val="00337C75"/>
    <w:rsid w:val="00340420"/>
    <w:rsid w:val="00340ABB"/>
    <w:rsid w:val="00340F87"/>
    <w:rsid w:val="00340FE6"/>
    <w:rsid w:val="0034139C"/>
    <w:rsid w:val="003413F8"/>
    <w:rsid w:val="0034161C"/>
    <w:rsid w:val="0034183B"/>
    <w:rsid w:val="003419F0"/>
    <w:rsid w:val="00341A1F"/>
    <w:rsid w:val="00341C5B"/>
    <w:rsid w:val="00342077"/>
    <w:rsid w:val="0034263E"/>
    <w:rsid w:val="0034283C"/>
    <w:rsid w:val="00342DD1"/>
    <w:rsid w:val="00343179"/>
    <w:rsid w:val="003432A3"/>
    <w:rsid w:val="003436A6"/>
    <w:rsid w:val="0034389E"/>
    <w:rsid w:val="0034390E"/>
    <w:rsid w:val="0034467C"/>
    <w:rsid w:val="0034492D"/>
    <w:rsid w:val="00344B77"/>
    <w:rsid w:val="00344F93"/>
    <w:rsid w:val="00345165"/>
    <w:rsid w:val="0034527C"/>
    <w:rsid w:val="00345950"/>
    <w:rsid w:val="003459B6"/>
    <w:rsid w:val="00346649"/>
    <w:rsid w:val="00346E42"/>
    <w:rsid w:val="003473E4"/>
    <w:rsid w:val="003475B7"/>
    <w:rsid w:val="00347938"/>
    <w:rsid w:val="00347AD2"/>
    <w:rsid w:val="00347CF3"/>
    <w:rsid w:val="00350116"/>
    <w:rsid w:val="00350348"/>
    <w:rsid w:val="003503D1"/>
    <w:rsid w:val="00350450"/>
    <w:rsid w:val="00351372"/>
    <w:rsid w:val="00351433"/>
    <w:rsid w:val="00351619"/>
    <w:rsid w:val="003516C3"/>
    <w:rsid w:val="00351B11"/>
    <w:rsid w:val="00351D19"/>
    <w:rsid w:val="00352807"/>
    <w:rsid w:val="00352C0D"/>
    <w:rsid w:val="00352C6D"/>
    <w:rsid w:val="00353969"/>
    <w:rsid w:val="00354175"/>
    <w:rsid w:val="003541D8"/>
    <w:rsid w:val="00354CCA"/>
    <w:rsid w:val="00354D6B"/>
    <w:rsid w:val="00354E7A"/>
    <w:rsid w:val="003551E0"/>
    <w:rsid w:val="00355300"/>
    <w:rsid w:val="00355886"/>
    <w:rsid w:val="00355A6C"/>
    <w:rsid w:val="00355BD0"/>
    <w:rsid w:val="00355C8B"/>
    <w:rsid w:val="00356189"/>
    <w:rsid w:val="00356389"/>
    <w:rsid w:val="003565F1"/>
    <w:rsid w:val="00356F3A"/>
    <w:rsid w:val="0035765C"/>
    <w:rsid w:val="00357721"/>
    <w:rsid w:val="00357A07"/>
    <w:rsid w:val="00357B4C"/>
    <w:rsid w:val="00357DB7"/>
    <w:rsid w:val="00360066"/>
    <w:rsid w:val="0036006D"/>
    <w:rsid w:val="00360126"/>
    <w:rsid w:val="003602AE"/>
    <w:rsid w:val="00360356"/>
    <w:rsid w:val="003608B5"/>
    <w:rsid w:val="00360D73"/>
    <w:rsid w:val="0036185E"/>
    <w:rsid w:val="0036278E"/>
    <w:rsid w:val="00364270"/>
    <w:rsid w:val="003642C2"/>
    <w:rsid w:val="003643BD"/>
    <w:rsid w:val="0036450F"/>
    <w:rsid w:val="00365145"/>
    <w:rsid w:val="003659A5"/>
    <w:rsid w:val="00365B4E"/>
    <w:rsid w:val="00365DC8"/>
    <w:rsid w:val="00365F81"/>
    <w:rsid w:val="00366178"/>
    <w:rsid w:val="0036675B"/>
    <w:rsid w:val="0036781F"/>
    <w:rsid w:val="00367834"/>
    <w:rsid w:val="003679DC"/>
    <w:rsid w:val="00367AF0"/>
    <w:rsid w:val="00367C20"/>
    <w:rsid w:val="0037022C"/>
    <w:rsid w:val="003705EA"/>
    <w:rsid w:val="003709B6"/>
    <w:rsid w:val="00370E20"/>
    <w:rsid w:val="00370E81"/>
    <w:rsid w:val="00370EEE"/>
    <w:rsid w:val="003712FA"/>
    <w:rsid w:val="00371F5D"/>
    <w:rsid w:val="00372494"/>
    <w:rsid w:val="003726E1"/>
    <w:rsid w:val="00372800"/>
    <w:rsid w:val="00372B44"/>
    <w:rsid w:val="00372C03"/>
    <w:rsid w:val="00372C85"/>
    <w:rsid w:val="00372DE8"/>
    <w:rsid w:val="00372E21"/>
    <w:rsid w:val="00373514"/>
    <w:rsid w:val="0037398C"/>
    <w:rsid w:val="00373A57"/>
    <w:rsid w:val="00373F6E"/>
    <w:rsid w:val="003741F3"/>
    <w:rsid w:val="003745D7"/>
    <w:rsid w:val="00374FC8"/>
    <w:rsid w:val="00375018"/>
    <w:rsid w:val="00375B2A"/>
    <w:rsid w:val="00375E67"/>
    <w:rsid w:val="00376421"/>
    <w:rsid w:val="00376509"/>
    <w:rsid w:val="003766A2"/>
    <w:rsid w:val="00376706"/>
    <w:rsid w:val="0037672B"/>
    <w:rsid w:val="00376E2C"/>
    <w:rsid w:val="00376F10"/>
    <w:rsid w:val="00377515"/>
    <w:rsid w:val="003776EA"/>
    <w:rsid w:val="00380216"/>
    <w:rsid w:val="00380C9F"/>
    <w:rsid w:val="00380CFA"/>
    <w:rsid w:val="00380EA0"/>
    <w:rsid w:val="00381028"/>
    <w:rsid w:val="0038128A"/>
    <w:rsid w:val="003814CE"/>
    <w:rsid w:val="00381921"/>
    <w:rsid w:val="00381CD8"/>
    <w:rsid w:val="003827DE"/>
    <w:rsid w:val="0038293A"/>
    <w:rsid w:val="00382E73"/>
    <w:rsid w:val="003830CE"/>
    <w:rsid w:val="00383240"/>
    <w:rsid w:val="003833C3"/>
    <w:rsid w:val="0038370E"/>
    <w:rsid w:val="00384A9E"/>
    <w:rsid w:val="00385C71"/>
    <w:rsid w:val="00386B22"/>
    <w:rsid w:val="00387303"/>
    <w:rsid w:val="00387643"/>
    <w:rsid w:val="00387701"/>
    <w:rsid w:val="00387740"/>
    <w:rsid w:val="0038788A"/>
    <w:rsid w:val="00387B0E"/>
    <w:rsid w:val="00387EC8"/>
    <w:rsid w:val="00390538"/>
    <w:rsid w:val="003905D7"/>
    <w:rsid w:val="00390851"/>
    <w:rsid w:val="003908BA"/>
    <w:rsid w:val="00390B96"/>
    <w:rsid w:val="0039165D"/>
    <w:rsid w:val="00391B27"/>
    <w:rsid w:val="00391B9A"/>
    <w:rsid w:val="00391E19"/>
    <w:rsid w:val="003920F3"/>
    <w:rsid w:val="00392247"/>
    <w:rsid w:val="00392989"/>
    <w:rsid w:val="00393260"/>
    <w:rsid w:val="00393460"/>
    <w:rsid w:val="0039367F"/>
    <w:rsid w:val="003936C2"/>
    <w:rsid w:val="0039392F"/>
    <w:rsid w:val="00394001"/>
    <w:rsid w:val="00394557"/>
    <w:rsid w:val="003948F8"/>
    <w:rsid w:val="00394F65"/>
    <w:rsid w:val="00395521"/>
    <w:rsid w:val="0039583E"/>
    <w:rsid w:val="00395C9D"/>
    <w:rsid w:val="00395C9E"/>
    <w:rsid w:val="003968DE"/>
    <w:rsid w:val="003969AD"/>
    <w:rsid w:val="00396ABF"/>
    <w:rsid w:val="00396DB1"/>
    <w:rsid w:val="00396FC9"/>
    <w:rsid w:val="00397276"/>
    <w:rsid w:val="00397508"/>
    <w:rsid w:val="00397F0F"/>
    <w:rsid w:val="003A0192"/>
    <w:rsid w:val="003A020A"/>
    <w:rsid w:val="003A0531"/>
    <w:rsid w:val="003A07F0"/>
    <w:rsid w:val="003A085B"/>
    <w:rsid w:val="003A0B2D"/>
    <w:rsid w:val="003A1082"/>
    <w:rsid w:val="003A1520"/>
    <w:rsid w:val="003A1874"/>
    <w:rsid w:val="003A1DFE"/>
    <w:rsid w:val="003A1E3C"/>
    <w:rsid w:val="003A1E83"/>
    <w:rsid w:val="003A2061"/>
    <w:rsid w:val="003A20C4"/>
    <w:rsid w:val="003A21A7"/>
    <w:rsid w:val="003A22CE"/>
    <w:rsid w:val="003A2322"/>
    <w:rsid w:val="003A2547"/>
    <w:rsid w:val="003A26FA"/>
    <w:rsid w:val="003A2C69"/>
    <w:rsid w:val="003A33FF"/>
    <w:rsid w:val="003A3631"/>
    <w:rsid w:val="003A3CF2"/>
    <w:rsid w:val="003A3E95"/>
    <w:rsid w:val="003A4133"/>
    <w:rsid w:val="003A42AF"/>
    <w:rsid w:val="003A42E1"/>
    <w:rsid w:val="003A434A"/>
    <w:rsid w:val="003A5A59"/>
    <w:rsid w:val="003A5D6C"/>
    <w:rsid w:val="003A6069"/>
    <w:rsid w:val="003A61CA"/>
    <w:rsid w:val="003A61CC"/>
    <w:rsid w:val="003A63C6"/>
    <w:rsid w:val="003A712F"/>
    <w:rsid w:val="003A787F"/>
    <w:rsid w:val="003B0218"/>
    <w:rsid w:val="003B056B"/>
    <w:rsid w:val="003B0FD3"/>
    <w:rsid w:val="003B10EF"/>
    <w:rsid w:val="003B182A"/>
    <w:rsid w:val="003B1E54"/>
    <w:rsid w:val="003B20E3"/>
    <w:rsid w:val="003B2627"/>
    <w:rsid w:val="003B2745"/>
    <w:rsid w:val="003B27E7"/>
    <w:rsid w:val="003B2A51"/>
    <w:rsid w:val="003B2DB4"/>
    <w:rsid w:val="003B3743"/>
    <w:rsid w:val="003B3746"/>
    <w:rsid w:val="003B3B92"/>
    <w:rsid w:val="003B4063"/>
    <w:rsid w:val="003B4BD2"/>
    <w:rsid w:val="003B4CA8"/>
    <w:rsid w:val="003B54AC"/>
    <w:rsid w:val="003B5D3B"/>
    <w:rsid w:val="003B5EA9"/>
    <w:rsid w:val="003B5EEC"/>
    <w:rsid w:val="003B669C"/>
    <w:rsid w:val="003B66B5"/>
    <w:rsid w:val="003B67B5"/>
    <w:rsid w:val="003B7277"/>
    <w:rsid w:val="003B73BF"/>
    <w:rsid w:val="003B7542"/>
    <w:rsid w:val="003C017F"/>
    <w:rsid w:val="003C031F"/>
    <w:rsid w:val="003C0490"/>
    <w:rsid w:val="003C0D39"/>
    <w:rsid w:val="003C0D79"/>
    <w:rsid w:val="003C1EFF"/>
    <w:rsid w:val="003C239B"/>
    <w:rsid w:val="003C2B7D"/>
    <w:rsid w:val="003C2EE3"/>
    <w:rsid w:val="003C3748"/>
    <w:rsid w:val="003C37CC"/>
    <w:rsid w:val="003C3985"/>
    <w:rsid w:val="003C3BCD"/>
    <w:rsid w:val="003C3F64"/>
    <w:rsid w:val="003C4068"/>
    <w:rsid w:val="003C40C9"/>
    <w:rsid w:val="003C42C3"/>
    <w:rsid w:val="003C4A50"/>
    <w:rsid w:val="003C511B"/>
    <w:rsid w:val="003C5630"/>
    <w:rsid w:val="003C66FF"/>
    <w:rsid w:val="003C6D3A"/>
    <w:rsid w:val="003C6DB8"/>
    <w:rsid w:val="003C7BB6"/>
    <w:rsid w:val="003D011E"/>
    <w:rsid w:val="003D0183"/>
    <w:rsid w:val="003D0908"/>
    <w:rsid w:val="003D0C05"/>
    <w:rsid w:val="003D0C0B"/>
    <w:rsid w:val="003D0E78"/>
    <w:rsid w:val="003D12D3"/>
    <w:rsid w:val="003D16A4"/>
    <w:rsid w:val="003D16E4"/>
    <w:rsid w:val="003D1ACC"/>
    <w:rsid w:val="003D1B08"/>
    <w:rsid w:val="003D2682"/>
    <w:rsid w:val="003D2A5E"/>
    <w:rsid w:val="003D2C43"/>
    <w:rsid w:val="003D32E1"/>
    <w:rsid w:val="003D3D90"/>
    <w:rsid w:val="003D3E0B"/>
    <w:rsid w:val="003D3F49"/>
    <w:rsid w:val="003D3F4A"/>
    <w:rsid w:val="003D457A"/>
    <w:rsid w:val="003D4609"/>
    <w:rsid w:val="003D4F0C"/>
    <w:rsid w:val="003D6294"/>
    <w:rsid w:val="003D64BF"/>
    <w:rsid w:val="003D73E1"/>
    <w:rsid w:val="003D7CF9"/>
    <w:rsid w:val="003D7F2A"/>
    <w:rsid w:val="003E0252"/>
    <w:rsid w:val="003E043F"/>
    <w:rsid w:val="003E0DF7"/>
    <w:rsid w:val="003E0F64"/>
    <w:rsid w:val="003E17B4"/>
    <w:rsid w:val="003E17E9"/>
    <w:rsid w:val="003E2796"/>
    <w:rsid w:val="003E2C26"/>
    <w:rsid w:val="003E385B"/>
    <w:rsid w:val="003E4642"/>
    <w:rsid w:val="003E47E8"/>
    <w:rsid w:val="003E4932"/>
    <w:rsid w:val="003E4959"/>
    <w:rsid w:val="003E4E2E"/>
    <w:rsid w:val="003E5C9C"/>
    <w:rsid w:val="003E60D5"/>
    <w:rsid w:val="003E6186"/>
    <w:rsid w:val="003E697D"/>
    <w:rsid w:val="003E6E74"/>
    <w:rsid w:val="003E7227"/>
    <w:rsid w:val="003E7288"/>
    <w:rsid w:val="003E7383"/>
    <w:rsid w:val="003E7503"/>
    <w:rsid w:val="003E79FC"/>
    <w:rsid w:val="003E7AFC"/>
    <w:rsid w:val="003E7FBD"/>
    <w:rsid w:val="003F051F"/>
    <w:rsid w:val="003F06AF"/>
    <w:rsid w:val="003F0C7C"/>
    <w:rsid w:val="003F0CBF"/>
    <w:rsid w:val="003F0FE0"/>
    <w:rsid w:val="003F1086"/>
    <w:rsid w:val="003F158F"/>
    <w:rsid w:val="003F1FC5"/>
    <w:rsid w:val="003F20FD"/>
    <w:rsid w:val="003F21D9"/>
    <w:rsid w:val="003F2550"/>
    <w:rsid w:val="003F2C1F"/>
    <w:rsid w:val="003F2EEA"/>
    <w:rsid w:val="003F2F96"/>
    <w:rsid w:val="003F3155"/>
    <w:rsid w:val="003F3250"/>
    <w:rsid w:val="003F3279"/>
    <w:rsid w:val="003F3DBE"/>
    <w:rsid w:val="003F448A"/>
    <w:rsid w:val="003F49F4"/>
    <w:rsid w:val="003F4AD4"/>
    <w:rsid w:val="003F4D9C"/>
    <w:rsid w:val="003F5278"/>
    <w:rsid w:val="003F55C0"/>
    <w:rsid w:val="003F570E"/>
    <w:rsid w:val="003F5CE8"/>
    <w:rsid w:val="003F61D0"/>
    <w:rsid w:val="003F678C"/>
    <w:rsid w:val="003F6A85"/>
    <w:rsid w:val="003F6A90"/>
    <w:rsid w:val="003F6B01"/>
    <w:rsid w:val="003F6E45"/>
    <w:rsid w:val="003F6EA7"/>
    <w:rsid w:val="003F6EBF"/>
    <w:rsid w:val="003F730B"/>
    <w:rsid w:val="003F754D"/>
    <w:rsid w:val="003F766E"/>
    <w:rsid w:val="003F7BEF"/>
    <w:rsid w:val="004011FC"/>
    <w:rsid w:val="00401722"/>
    <w:rsid w:val="00401BBF"/>
    <w:rsid w:val="00401FC3"/>
    <w:rsid w:val="00402024"/>
    <w:rsid w:val="00402232"/>
    <w:rsid w:val="004024CC"/>
    <w:rsid w:val="004028CD"/>
    <w:rsid w:val="00402B4D"/>
    <w:rsid w:val="00403164"/>
    <w:rsid w:val="00403371"/>
    <w:rsid w:val="00403506"/>
    <w:rsid w:val="00403553"/>
    <w:rsid w:val="004035FA"/>
    <w:rsid w:val="004036BC"/>
    <w:rsid w:val="00403881"/>
    <w:rsid w:val="004039EB"/>
    <w:rsid w:val="00403FC2"/>
    <w:rsid w:val="004042A4"/>
    <w:rsid w:val="004049C3"/>
    <w:rsid w:val="00404D8F"/>
    <w:rsid w:val="0040536F"/>
    <w:rsid w:val="00405458"/>
    <w:rsid w:val="004054A3"/>
    <w:rsid w:val="004055CB"/>
    <w:rsid w:val="004058AD"/>
    <w:rsid w:val="00405A64"/>
    <w:rsid w:val="00405BCC"/>
    <w:rsid w:val="00405E89"/>
    <w:rsid w:val="00405EC5"/>
    <w:rsid w:val="0040627B"/>
    <w:rsid w:val="0040664C"/>
    <w:rsid w:val="004066BC"/>
    <w:rsid w:val="00406D40"/>
    <w:rsid w:val="004071F6"/>
    <w:rsid w:val="004072AA"/>
    <w:rsid w:val="00407366"/>
    <w:rsid w:val="004078C6"/>
    <w:rsid w:val="00407B44"/>
    <w:rsid w:val="00407B46"/>
    <w:rsid w:val="00407BF6"/>
    <w:rsid w:val="00407C8B"/>
    <w:rsid w:val="00407CCE"/>
    <w:rsid w:val="0041066D"/>
    <w:rsid w:val="00410BE5"/>
    <w:rsid w:val="00410D6B"/>
    <w:rsid w:val="00410F91"/>
    <w:rsid w:val="00411140"/>
    <w:rsid w:val="00411CCB"/>
    <w:rsid w:val="00412377"/>
    <w:rsid w:val="004127B5"/>
    <w:rsid w:val="004128FE"/>
    <w:rsid w:val="0041314B"/>
    <w:rsid w:val="004139C8"/>
    <w:rsid w:val="00413BB7"/>
    <w:rsid w:val="00413C73"/>
    <w:rsid w:val="00413F57"/>
    <w:rsid w:val="00414246"/>
    <w:rsid w:val="004142EF"/>
    <w:rsid w:val="0041454B"/>
    <w:rsid w:val="00414A2F"/>
    <w:rsid w:val="00414B20"/>
    <w:rsid w:val="00414FE3"/>
    <w:rsid w:val="00415114"/>
    <w:rsid w:val="00415189"/>
    <w:rsid w:val="004151BC"/>
    <w:rsid w:val="0041555B"/>
    <w:rsid w:val="004155AC"/>
    <w:rsid w:val="00415CC2"/>
    <w:rsid w:val="00415F02"/>
    <w:rsid w:val="00416130"/>
    <w:rsid w:val="00416166"/>
    <w:rsid w:val="004165A6"/>
    <w:rsid w:val="004167E7"/>
    <w:rsid w:val="004167EB"/>
    <w:rsid w:val="004170EF"/>
    <w:rsid w:val="00417830"/>
    <w:rsid w:val="004204AA"/>
    <w:rsid w:val="0042080B"/>
    <w:rsid w:val="00420A8D"/>
    <w:rsid w:val="00421124"/>
    <w:rsid w:val="00421527"/>
    <w:rsid w:val="00421838"/>
    <w:rsid w:val="00421919"/>
    <w:rsid w:val="00421C84"/>
    <w:rsid w:val="00421DFA"/>
    <w:rsid w:val="00422130"/>
    <w:rsid w:val="00422638"/>
    <w:rsid w:val="00422679"/>
    <w:rsid w:val="00422A69"/>
    <w:rsid w:val="00422D53"/>
    <w:rsid w:val="004234A0"/>
    <w:rsid w:val="004235D7"/>
    <w:rsid w:val="00423D63"/>
    <w:rsid w:val="004241EC"/>
    <w:rsid w:val="00424504"/>
    <w:rsid w:val="00424AEC"/>
    <w:rsid w:val="00424B6A"/>
    <w:rsid w:val="00424D00"/>
    <w:rsid w:val="00424E5D"/>
    <w:rsid w:val="0042504B"/>
    <w:rsid w:val="004250B6"/>
    <w:rsid w:val="004256D6"/>
    <w:rsid w:val="004266F6"/>
    <w:rsid w:val="00427D8E"/>
    <w:rsid w:val="00427DF1"/>
    <w:rsid w:val="004301D7"/>
    <w:rsid w:val="0043028F"/>
    <w:rsid w:val="0043049E"/>
    <w:rsid w:val="00430AA4"/>
    <w:rsid w:val="00430C48"/>
    <w:rsid w:val="00431229"/>
    <w:rsid w:val="004313CE"/>
    <w:rsid w:val="004319D1"/>
    <w:rsid w:val="00431CCD"/>
    <w:rsid w:val="00431F53"/>
    <w:rsid w:val="00432140"/>
    <w:rsid w:val="0043227B"/>
    <w:rsid w:val="004324CB"/>
    <w:rsid w:val="00432570"/>
    <w:rsid w:val="004327B7"/>
    <w:rsid w:val="004327D1"/>
    <w:rsid w:val="00432FBC"/>
    <w:rsid w:val="00433701"/>
    <w:rsid w:val="004337EB"/>
    <w:rsid w:val="00433E88"/>
    <w:rsid w:val="00434476"/>
    <w:rsid w:val="00434605"/>
    <w:rsid w:val="00434D26"/>
    <w:rsid w:val="00435082"/>
    <w:rsid w:val="004352CA"/>
    <w:rsid w:val="00435568"/>
    <w:rsid w:val="004357F3"/>
    <w:rsid w:val="0043609A"/>
    <w:rsid w:val="00436494"/>
    <w:rsid w:val="00436F17"/>
    <w:rsid w:val="004370EB"/>
    <w:rsid w:val="004372B5"/>
    <w:rsid w:val="004373DD"/>
    <w:rsid w:val="00437C06"/>
    <w:rsid w:val="00437C90"/>
    <w:rsid w:val="0044083F"/>
    <w:rsid w:val="004409C5"/>
    <w:rsid w:val="00440EFD"/>
    <w:rsid w:val="0044160C"/>
    <w:rsid w:val="00441907"/>
    <w:rsid w:val="00441B18"/>
    <w:rsid w:val="00441CF0"/>
    <w:rsid w:val="00441F30"/>
    <w:rsid w:val="0044201F"/>
    <w:rsid w:val="004421AC"/>
    <w:rsid w:val="00442725"/>
    <w:rsid w:val="00442DA1"/>
    <w:rsid w:val="00442F59"/>
    <w:rsid w:val="0044310F"/>
    <w:rsid w:val="004434DD"/>
    <w:rsid w:val="00443FC5"/>
    <w:rsid w:val="004442AC"/>
    <w:rsid w:val="00444669"/>
    <w:rsid w:val="00444CB6"/>
    <w:rsid w:val="0044548E"/>
    <w:rsid w:val="00445496"/>
    <w:rsid w:val="00445855"/>
    <w:rsid w:val="00445CD2"/>
    <w:rsid w:val="00446975"/>
    <w:rsid w:val="00446BC2"/>
    <w:rsid w:val="00447B4C"/>
    <w:rsid w:val="0045024E"/>
    <w:rsid w:val="00450268"/>
    <w:rsid w:val="0045044F"/>
    <w:rsid w:val="00450A3B"/>
    <w:rsid w:val="00450E22"/>
    <w:rsid w:val="004510B9"/>
    <w:rsid w:val="00451EA1"/>
    <w:rsid w:val="00452685"/>
    <w:rsid w:val="004526DF"/>
    <w:rsid w:val="004530CC"/>
    <w:rsid w:val="004533A3"/>
    <w:rsid w:val="00453B83"/>
    <w:rsid w:val="004541AD"/>
    <w:rsid w:val="00454201"/>
    <w:rsid w:val="0045435A"/>
    <w:rsid w:val="00454732"/>
    <w:rsid w:val="00454A3B"/>
    <w:rsid w:val="004551BD"/>
    <w:rsid w:val="0045571E"/>
    <w:rsid w:val="004567B3"/>
    <w:rsid w:val="00456805"/>
    <w:rsid w:val="00456BA5"/>
    <w:rsid w:val="00456F4E"/>
    <w:rsid w:val="00457227"/>
    <w:rsid w:val="00457B61"/>
    <w:rsid w:val="00460250"/>
    <w:rsid w:val="00460770"/>
    <w:rsid w:val="00460DF6"/>
    <w:rsid w:val="0046164F"/>
    <w:rsid w:val="00461AFA"/>
    <w:rsid w:val="00461F00"/>
    <w:rsid w:val="0046209B"/>
    <w:rsid w:val="004621E2"/>
    <w:rsid w:val="004623DF"/>
    <w:rsid w:val="004627CD"/>
    <w:rsid w:val="00462817"/>
    <w:rsid w:val="00462836"/>
    <w:rsid w:val="00462D60"/>
    <w:rsid w:val="00463797"/>
    <w:rsid w:val="0046395C"/>
    <w:rsid w:val="0046477A"/>
    <w:rsid w:val="00464D80"/>
    <w:rsid w:val="00465C95"/>
    <w:rsid w:val="00465F26"/>
    <w:rsid w:val="0046615B"/>
    <w:rsid w:val="00466704"/>
    <w:rsid w:val="00466E08"/>
    <w:rsid w:val="0046734E"/>
    <w:rsid w:val="004675CE"/>
    <w:rsid w:val="004676CB"/>
    <w:rsid w:val="00470678"/>
    <w:rsid w:val="00470679"/>
    <w:rsid w:val="00470715"/>
    <w:rsid w:val="0047084B"/>
    <w:rsid w:val="00470A45"/>
    <w:rsid w:val="00470AFD"/>
    <w:rsid w:val="00470B0D"/>
    <w:rsid w:val="00470C81"/>
    <w:rsid w:val="00471799"/>
    <w:rsid w:val="00471B25"/>
    <w:rsid w:val="00471BFE"/>
    <w:rsid w:val="004720AC"/>
    <w:rsid w:val="004721A4"/>
    <w:rsid w:val="00472402"/>
    <w:rsid w:val="00473A13"/>
    <w:rsid w:val="0047447B"/>
    <w:rsid w:val="00474BC5"/>
    <w:rsid w:val="00475909"/>
    <w:rsid w:val="00475A7C"/>
    <w:rsid w:val="00475E2D"/>
    <w:rsid w:val="00475E5C"/>
    <w:rsid w:val="00476720"/>
    <w:rsid w:val="00476980"/>
    <w:rsid w:val="004771E6"/>
    <w:rsid w:val="00477CCB"/>
    <w:rsid w:val="004809B0"/>
    <w:rsid w:val="00481233"/>
    <w:rsid w:val="00481A40"/>
    <w:rsid w:val="00481CF1"/>
    <w:rsid w:val="00481EC2"/>
    <w:rsid w:val="00481F03"/>
    <w:rsid w:val="0048203D"/>
    <w:rsid w:val="00482CD2"/>
    <w:rsid w:val="00482D73"/>
    <w:rsid w:val="0048424B"/>
    <w:rsid w:val="004842E3"/>
    <w:rsid w:val="00484B42"/>
    <w:rsid w:val="00484B81"/>
    <w:rsid w:val="00484BEE"/>
    <w:rsid w:val="00484DD5"/>
    <w:rsid w:val="00485543"/>
    <w:rsid w:val="0048560C"/>
    <w:rsid w:val="00486111"/>
    <w:rsid w:val="004863E6"/>
    <w:rsid w:val="004865FD"/>
    <w:rsid w:val="004866A2"/>
    <w:rsid w:val="004867AE"/>
    <w:rsid w:val="00487440"/>
    <w:rsid w:val="004877B2"/>
    <w:rsid w:val="00490307"/>
    <w:rsid w:val="00490532"/>
    <w:rsid w:val="00490B78"/>
    <w:rsid w:val="00490E77"/>
    <w:rsid w:val="004920C3"/>
    <w:rsid w:val="00492B43"/>
    <w:rsid w:val="00493388"/>
    <w:rsid w:val="004933BC"/>
    <w:rsid w:val="00493B7F"/>
    <w:rsid w:val="0049428A"/>
    <w:rsid w:val="00494739"/>
    <w:rsid w:val="00494B7B"/>
    <w:rsid w:val="00495038"/>
    <w:rsid w:val="004954D9"/>
    <w:rsid w:val="00495FA3"/>
    <w:rsid w:val="004960E1"/>
    <w:rsid w:val="00496659"/>
    <w:rsid w:val="00496888"/>
    <w:rsid w:val="00497342"/>
    <w:rsid w:val="004A0973"/>
    <w:rsid w:val="004A0A8A"/>
    <w:rsid w:val="004A0EEA"/>
    <w:rsid w:val="004A0F19"/>
    <w:rsid w:val="004A1292"/>
    <w:rsid w:val="004A12AB"/>
    <w:rsid w:val="004A15CD"/>
    <w:rsid w:val="004A1663"/>
    <w:rsid w:val="004A26D6"/>
    <w:rsid w:val="004A2A70"/>
    <w:rsid w:val="004A2A73"/>
    <w:rsid w:val="004A34D1"/>
    <w:rsid w:val="004A3821"/>
    <w:rsid w:val="004A39DC"/>
    <w:rsid w:val="004A3C9D"/>
    <w:rsid w:val="004A4351"/>
    <w:rsid w:val="004A4415"/>
    <w:rsid w:val="004A4942"/>
    <w:rsid w:val="004A4B5D"/>
    <w:rsid w:val="004A4BAE"/>
    <w:rsid w:val="004A4CD0"/>
    <w:rsid w:val="004A4D05"/>
    <w:rsid w:val="004A5713"/>
    <w:rsid w:val="004A574D"/>
    <w:rsid w:val="004A6631"/>
    <w:rsid w:val="004A6754"/>
    <w:rsid w:val="004A69AE"/>
    <w:rsid w:val="004A6D74"/>
    <w:rsid w:val="004A717C"/>
    <w:rsid w:val="004A7F8D"/>
    <w:rsid w:val="004B0022"/>
    <w:rsid w:val="004B00B9"/>
    <w:rsid w:val="004B06E2"/>
    <w:rsid w:val="004B0925"/>
    <w:rsid w:val="004B0BD5"/>
    <w:rsid w:val="004B156F"/>
    <w:rsid w:val="004B16CC"/>
    <w:rsid w:val="004B197D"/>
    <w:rsid w:val="004B1C7A"/>
    <w:rsid w:val="004B1ECD"/>
    <w:rsid w:val="004B24E6"/>
    <w:rsid w:val="004B2570"/>
    <w:rsid w:val="004B2769"/>
    <w:rsid w:val="004B27BA"/>
    <w:rsid w:val="004B2B77"/>
    <w:rsid w:val="004B31DC"/>
    <w:rsid w:val="004B33B0"/>
    <w:rsid w:val="004B359D"/>
    <w:rsid w:val="004B38F7"/>
    <w:rsid w:val="004B3A36"/>
    <w:rsid w:val="004B3B63"/>
    <w:rsid w:val="004B3C13"/>
    <w:rsid w:val="004B3F4A"/>
    <w:rsid w:val="004B3F81"/>
    <w:rsid w:val="004B4293"/>
    <w:rsid w:val="004B4772"/>
    <w:rsid w:val="004B47ED"/>
    <w:rsid w:val="004B4AA8"/>
    <w:rsid w:val="004B6214"/>
    <w:rsid w:val="004B6259"/>
    <w:rsid w:val="004B6461"/>
    <w:rsid w:val="004B69A9"/>
    <w:rsid w:val="004B6B02"/>
    <w:rsid w:val="004B6D89"/>
    <w:rsid w:val="004B6FB8"/>
    <w:rsid w:val="004B721A"/>
    <w:rsid w:val="004B75BC"/>
    <w:rsid w:val="004B7AFE"/>
    <w:rsid w:val="004B7B3D"/>
    <w:rsid w:val="004B7E13"/>
    <w:rsid w:val="004B7E81"/>
    <w:rsid w:val="004C04E5"/>
    <w:rsid w:val="004C07B3"/>
    <w:rsid w:val="004C0E70"/>
    <w:rsid w:val="004C104C"/>
    <w:rsid w:val="004C13C4"/>
    <w:rsid w:val="004C28B2"/>
    <w:rsid w:val="004C3ED6"/>
    <w:rsid w:val="004C40C6"/>
    <w:rsid w:val="004C4448"/>
    <w:rsid w:val="004C493B"/>
    <w:rsid w:val="004C4A38"/>
    <w:rsid w:val="004C4F47"/>
    <w:rsid w:val="004C545E"/>
    <w:rsid w:val="004C5549"/>
    <w:rsid w:val="004C5CA6"/>
    <w:rsid w:val="004C6017"/>
    <w:rsid w:val="004C605F"/>
    <w:rsid w:val="004C618B"/>
    <w:rsid w:val="004C64F5"/>
    <w:rsid w:val="004C6F68"/>
    <w:rsid w:val="004C76DD"/>
    <w:rsid w:val="004C778E"/>
    <w:rsid w:val="004C7945"/>
    <w:rsid w:val="004C7ECB"/>
    <w:rsid w:val="004D0B66"/>
    <w:rsid w:val="004D11AB"/>
    <w:rsid w:val="004D1466"/>
    <w:rsid w:val="004D1D57"/>
    <w:rsid w:val="004D22B4"/>
    <w:rsid w:val="004D2A2F"/>
    <w:rsid w:val="004D303C"/>
    <w:rsid w:val="004D36BE"/>
    <w:rsid w:val="004D3DEA"/>
    <w:rsid w:val="004D3E27"/>
    <w:rsid w:val="004D3E72"/>
    <w:rsid w:val="004D4220"/>
    <w:rsid w:val="004D4367"/>
    <w:rsid w:val="004D44A8"/>
    <w:rsid w:val="004D501A"/>
    <w:rsid w:val="004D6493"/>
    <w:rsid w:val="004D67D3"/>
    <w:rsid w:val="004D6D69"/>
    <w:rsid w:val="004D733C"/>
    <w:rsid w:val="004D7C83"/>
    <w:rsid w:val="004E07CF"/>
    <w:rsid w:val="004E0A7A"/>
    <w:rsid w:val="004E13C0"/>
    <w:rsid w:val="004E154F"/>
    <w:rsid w:val="004E16C7"/>
    <w:rsid w:val="004E1AC7"/>
    <w:rsid w:val="004E1CA5"/>
    <w:rsid w:val="004E20FA"/>
    <w:rsid w:val="004E2477"/>
    <w:rsid w:val="004E270A"/>
    <w:rsid w:val="004E2E10"/>
    <w:rsid w:val="004E35AC"/>
    <w:rsid w:val="004E3847"/>
    <w:rsid w:val="004E3ACF"/>
    <w:rsid w:val="004E3B9A"/>
    <w:rsid w:val="004E3C05"/>
    <w:rsid w:val="004E44CF"/>
    <w:rsid w:val="004E4630"/>
    <w:rsid w:val="004E4CC1"/>
    <w:rsid w:val="004E5042"/>
    <w:rsid w:val="004E558A"/>
    <w:rsid w:val="004E5B79"/>
    <w:rsid w:val="004E5F66"/>
    <w:rsid w:val="004E5FBC"/>
    <w:rsid w:val="004E630B"/>
    <w:rsid w:val="004E649B"/>
    <w:rsid w:val="004E6E34"/>
    <w:rsid w:val="004E6EC6"/>
    <w:rsid w:val="004E6FF2"/>
    <w:rsid w:val="004E7836"/>
    <w:rsid w:val="004F0CAB"/>
    <w:rsid w:val="004F1060"/>
    <w:rsid w:val="004F16A9"/>
    <w:rsid w:val="004F17B0"/>
    <w:rsid w:val="004F1A42"/>
    <w:rsid w:val="004F1BA8"/>
    <w:rsid w:val="004F1CD4"/>
    <w:rsid w:val="004F1D26"/>
    <w:rsid w:val="004F1F63"/>
    <w:rsid w:val="004F2123"/>
    <w:rsid w:val="004F2451"/>
    <w:rsid w:val="004F250D"/>
    <w:rsid w:val="004F2669"/>
    <w:rsid w:val="004F2AA3"/>
    <w:rsid w:val="004F2E01"/>
    <w:rsid w:val="004F33B3"/>
    <w:rsid w:val="004F349D"/>
    <w:rsid w:val="004F36E8"/>
    <w:rsid w:val="004F3DEE"/>
    <w:rsid w:val="004F3FD7"/>
    <w:rsid w:val="004F436C"/>
    <w:rsid w:val="004F5159"/>
    <w:rsid w:val="004F51FF"/>
    <w:rsid w:val="004F5539"/>
    <w:rsid w:val="004F5FF2"/>
    <w:rsid w:val="004F6825"/>
    <w:rsid w:val="004F687B"/>
    <w:rsid w:val="004F6B9C"/>
    <w:rsid w:val="004F6E2D"/>
    <w:rsid w:val="004F70E5"/>
    <w:rsid w:val="004F72A4"/>
    <w:rsid w:val="004F75EC"/>
    <w:rsid w:val="004F76CF"/>
    <w:rsid w:val="004F789F"/>
    <w:rsid w:val="004F78CB"/>
    <w:rsid w:val="00500605"/>
    <w:rsid w:val="00500BE8"/>
    <w:rsid w:val="00500DB8"/>
    <w:rsid w:val="00500EC8"/>
    <w:rsid w:val="0050174E"/>
    <w:rsid w:val="005017A8"/>
    <w:rsid w:val="0050202D"/>
    <w:rsid w:val="005024A2"/>
    <w:rsid w:val="005025B8"/>
    <w:rsid w:val="00502AB2"/>
    <w:rsid w:val="00502B03"/>
    <w:rsid w:val="00502CA5"/>
    <w:rsid w:val="00502E7D"/>
    <w:rsid w:val="00503219"/>
    <w:rsid w:val="005034A7"/>
    <w:rsid w:val="00503C7C"/>
    <w:rsid w:val="00503EAA"/>
    <w:rsid w:val="00504078"/>
    <w:rsid w:val="005046D4"/>
    <w:rsid w:val="0050479B"/>
    <w:rsid w:val="005049D3"/>
    <w:rsid w:val="005055C6"/>
    <w:rsid w:val="00505FE4"/>
    <w:rsid w:val="005064E6"/>
    <w:rsid w:val="0050675A"/>
    <w:rsid w:val="00506812"/>
    <w:rsid w:val="00507B51"/>
    <w:rsid w:val="00507D68"/>
    <w:rsid w:val="00507DF2"/>
    <w:rsid w:val="0051025D"/>
    <w:rsid w:val="00510547"/>
    <w:rsid w:val="005108CF"/>
    <w:rsid w:val="0051091B"/>
    <w:rsid w:val="00510962"/>
    <w:rsid w:val="00510BE5"/>
    <w:rsid w:val="005111C2"/>
    <w:rsid w:val="00511499"/>
    <w:rsid w:val="005114ED"/>
    <w:rsid w:val="00511957"/>
    <w:rsid w:val="00511AAD"/>
    <w:rsid w:val="00511D98"/>
    <w:rsid w:val="00512C74"/>
    <w:rsid w:val="00512E02"/>
    <w:rsid w:val="00512F26"/>
    <w:rsid w:val="005137C0"/>
    <w:rsid w:val="005137D3"/>
    <w:rsid w:val="0051396A"/>
    <w:rsid w:val="00513A09"/>
    <w:rsid w:val="00513B81"/>
    <w:rsid w:val="00513E57"/>
    <w:rsid w:val="00514908"/>
    <w:rsid w:val="00514FA3"/>
    <w:rsid w:val="0051523A"/>
    <w:rsid w:val="005159FE"/>
    <w:rsid w:val="00515A23"/>
    <w:rsid w:val="005160A2"/>
    <w:rsid w:val="005161B8"/>
    <w:rsid w:val="00516202"/>
    <w:rsid w:val="0051660D"/>
    <w:rsid w:val="00516891"/>
    <w:rsid w:val="00516B9A"/>
    <w:rsid w:val="00517345"/>
    <w:rsid w:val="0051741B"/>
    <w:rsid w:val="0051743E"/>
    <w:rsid w:val="005175CD"/>
    <w:rsid w:val="005179F1"/>
    <w:rsid w:val="00517ADD"/>
    <w:rsid w:val="00517CF2"/>
    <w:rsid w:val="00520163"/>
    <w:rsid w:val="00520D2A"/>
    <w:rsid w:val="00521390"/>
    <w:rsid w:val="005213BB"/>
    <w:rsid w:val="005217D6"/>
    <w:rsid w:val="00521A24"/>
    <w:rsid w:val="00521C06"/>
    <w:rsid w:val="00521FF8"/>
    <w:rsid w:val="0052271C"/>
    <w:rsid w:val="00522C97"/>
    <w:rsid w:val="00523009"/>
    <w:rsid w:val="0052356F"/>
    <w:rsid w:val="0052371C"/>
    <w:rsid w:val="005237ED"/>
    <w:rsid w:val="00523B70"/>
    <w:rsid w:val="00524214"/>
    <w:rsid w:val="0052456E"/>
    <w:rsid w:val="005245AA"/>
    <w:rsid w:val="00524834"/>
    <w:rsid w:val="00524B6B"/>
    <w:rsid w:val="00524CB8"/>
    <w:rsid w:val="005254AA"/>
    <w:rsid w:val="005259C2"/>
    <w:rsid w:val="00525D13"/>
    <w:rsid w:val="005260CA"/>
    <w:rsid w:val="005260DB"/>
    <w:rsid w:val="00526688"/>
    <w:rsid w:val="005266E5"/>
    <w:rsid w:val="00526904"/>
    <w:rsid w:val="00526F65"/>
    <w:rsid w:val="005271FC"/>
    <w:rsid w:val="00527677"/>
    <w:rsid w:val="00527A02"/>
    <w:rsid w:val="00527B23"/>
    <w:rsid w:val="00527D2D"/>
    <w:rsid w:val="00527F26"/>
    <w:rsid w:val="005304C1"/>
    <w:rsid w:val="00530623"/>
    <w:rsid w:val="00530631"/>
    <w:rsid w:val="005309C9"/>
    <w:rsid w:val="00530CAC"/>
    <w:rsid w:val="0053109C"/>
    <w:rsid w:val="005313E2"/>
    <w:rsid w:val="005314B5"/>
    <w:rsid w:val="00531E8B"/>
    <w:rsid w:val="005321AC"/>
    <w:rsid w:val="00532579"/>
    <w:rsid w:val="005330EC"/>
    <w:rsid w:val="0053344D"/>
    <w:rsid w:val="00533D07"/>
    <w:rsid w:val="00533EA5"/>
    <w:rsid w:val="00534873"/>
    <w:rsid w:val="0053548E"/>
    <w:rsid w:val="005355C6"/>
    <w:rsid w:val="005357B8"/>
    <w:rsid w:val="00535D8A"/>
    <w:rsid w:val="00535F48"/>
    <w:rsid w:val="005360D7"/>
    <w:rsid w:val="00536400"/>
    <w:rsid w:val="005366DD"/>
    <w:rsid w:val="00536BC2"/>
    <w:rsid w:val="005373A2"/>
    <w:rsid w:val="00537D1B"/>
    <w:rsid w:val="00537ECA"/>
    <w:rsid w:val="0054041F"/>
    <w:rsid w:val="0054051C"/>
    <w:rsid w:val="005409C9"/>
    <w:rsid w:val="00540E23"/>
    <w:rsid w:val="0054117D"/>
    <w:rsid w:val="0054142B"/>
    <w:rsid w:val="00541776"/>
    <w:rsid w:val="00541969"/>
    <w:rsid w:val="00541A50"/>
    <w:rsid w:val="00541AB6"/>
    <w:rsid w:val="00542662"/>
    <w:rsid w:val="00542B78"/>
    <w:rsid w:val="00542E4E"/>
    <w:rsid w:val="0054377B"/>
    <w:rsid w:val="00543809"/>
    <w:rsid w:val="00543F00"/>
    <w:rsid w:val="00543F2C"/>
    <w:rsid w:val="00544221"/>
    <w:rsid w:val="00544B5E"/>
    <w:rsid w:val="005452BE"/>
    <w:rsid w:val="00545FBA"/>
    <w:rsid w:val="005471C5"/>
    <w:rsid w:val="005471F0"/>
    <w:rsid w:val="005471FF"/>
    <w:rsid w:val="00547B6A"/>
    <w:rsid w:val="00547D48"/>
    <w:rsid w:val="0055055F"/>
    <w:rsid w:val="00550984"/>
    <w:rsid w:val="00550A13"/>
    <w:rsid w:val="00550E19"/>
    <w:rsid w:val="005511F3"/>
    <w:rsid w:val="00551469"/>
    <w:rsid w:val="0055160C"/>
    <w:rsid w:val="0055187D"/>
    <w:rsid w:val="00551928"/>
    <w:rsid w:val="00551952"/>
    <w:rsid w:val="00551CB5"/>
    <w:rsid w:val="0055220E"/>
    <w:rsid w:val="00552512"/>
    <w:rsid w:val="00552B22"/>
    <w:rsid w:val="00552B6B"/>
    <w:rsid w:val="0055311B"/>
    <w:rsid w:val="0055330E"/>
    <w:rsid w:val="005537BD"/>
    <w:rsid w:val="00553C41"/>
    <w:rsid w:val="00553C9D"/>
    <w:rsid w:val="00553EA8"/>
    <w:rsid w:val="00554027"/>
    <w:rsid w:val="005543E8"/>
    <w:rsid w:val="0055463E"/>
    <w:rsid w:val="005547BB"/>
    <w:rsid w:val="0055487E"/>
    <w:rsid w:val="00554B2D"/>
    <w:rsid w:val="00554F1F"/>
    <w:rsid w:val="0055500F"/>
    <w:rsid w:val="005552A8"/>
    <w:rsid w:val="005554E4"/>
    <w:rsid w:val="00555627"/>
    <w:rsid w:val="00555C95"/>
    <w:rsid w:val="00556BBE"/>
    <w:rsid w:val="00556C03"/>
    <w:rsid w:val="00556C0D"/>
    <w:rsid w:val="00556CAA"/>
    <w:rsid w:val="00556CB3"/>
    <w:rsid w:val="00556CD0"/>
    <w:rsid w:val="0055701D"/>
    <w:rsid w:val="005573C1"/>
    <w:rsid w:val="0055797A"/>
    <w:rsid w:val="00557D63"/>
    <w:rsid w:val="0056024E"/>
    <w:rsid w:val="00561143"/>
    <w:rsid w:val="0056135E"/>
    <w:rsid w:val="00561734"/>
    <w:rsid w:val="00561DB9"/>
    <w:rsid w:val="00561DF2"/>
    <w:rsid w:val="005620DE"/>
    <w:rsid w:val="00562B28"/>
    <w:rsid w:val="00562B6B"/>
    <w:rsid w:val="00563391"/>
    <w:rsid w:val="00563E60"/>
    <w:rsid w:val="00563EAE"/>
    <w:rsid w:val="005648C0"/>
    <w:rsid w:val="00564DEC"/>
    <w:rsid w:val="00565060"/>
    <w:rsid w:val="00565261"/>
    <w:rsid w:val="00565699"/>
    <w:rsid w:val="0056578F"/>
    <w:rsid w:val="005661C9"/>
    <w:rsid w:val="00566A48"/>
    <w:rsid w:val="00566F05"/>
    <w:rsid w:val="00567119"/>
    <w:rsid w:val="005673AD"/>
    <w:rsid w:val="00567902"/>
    <w:rsid w:val="00567AED"/>
    <w:rsid w:val="00567D52"/>
    <w:rsid w:val="00570741"/>
    <w:rsid w:val="00570961"/>
    <w:rsid w:val="00570FC1"/>
    <w:rsid w:val="005711C0"/>
    <w:rsid w:val="0057127F"/>
    <w:rsid w:val="00571380"/>
    <w:rsid w:val="005716C2"/>
    <w:rsid w:val="00571DD1"/>
    <w:rsid w:val="00571E2E"/>
    <w:rsid w:val="00571EA5"/>
    <w:rsid w:val="0057215B"/>
    <w:rsid w:val="005723D1"/>
    <w:rsid w:val="00572585"/>
    <w:rsid w:val="00572CCE"/>
    <w:rsid w:val="0057326E"/>
    <w:rsid w:val="005732C3"/>
    <w:rsid w:val="005733D2"/>
    <w:rsid w:val="00573C47"/>
    <w:rsid w:val="0057400C"/>
    <w:rsid w:val="005740D8"/>
    <w:rsid w:val="005747A0"/>
    <w:rsid w:val="00574975"/>
    <w:rsid w:val="00574BCA"/>
    <w:rsid w:val="00574D4D"/>
    <w:rsid w:val="00574F0C"/>
    <w:rsid w:val="0057541A"/>
    <w:rsid w:val="00575512"/>
    <w:rsid w:val="005755E6"/>
    <w:rsid w:val="00575A06"/>
    <w:rsid w:val="00575BBF"/>
    <w:rsid w:val="00575C21"/>
    <w:rsid w:val="005761BB"/>
    <w:rsid w:val="0057647A"/>
    <w:rsid w:val="0057675A"/>
    <w:rsid w:val="00576794"/>
    <w:rsid w:val="00576DBC"/>
    <w:rsid w:val="00576E09"/>
    <w:rsid w:val="00576ED6"/>
    <w:rsid w:val="0057751B"/>
    <w:rsid w:val="00577CC5"/>
    <w:rsid w:val="00577DC9"/>
    <w:rsid w:val="0058051B"/>
    <w:rsid w:val="00580601"/>
    <w:rsid w:val="005809A4"/>
    <w:rsid w:val="00580C9B"/>
    <w:rsid w:val="00580EAD"/>
    <w:rsid w:val="00581217"/>
    <w:rsid w:val="005815DD"/>
    <w:rsid w:val="00582193"/>
    <w:rsid w:val="00582B88"/>
    <w:rsid w:val="00582EDD"/>
    <w:rsid w:val="00582F47"/>
    <w:rsid w:val="00582F6A"/>
    <w:rsid w:val="005831EE"/>
    <w:rsid w:val="0058324E"/>
    <w:rsid w:val="005835FF"/>
    <w:rsid w:val="00583A2B"/>
    <w:rsid w:val="00583ED9"/>
    <w:rsid w:val="00584554"/>
    <w:rsid w:val="005845EC"/>
    <w:rsid w:val="00584988"/>
    <w:rsid w:val="00584C4A"/>
    <w:rsid w:val="00584C72"/>
    <w:rsid w:val="00585053"/>
    <w:rsid w:val="00585170"/>
    <w:rsid w:val="0058558A"/>
    <w:rsid w:val="005855C7"/>
    <w:rsid w:val="00585A25"/>
    <w:rsid w:val="00585D0A"/>
    <w:rsid w:val="00586593"/>
    <w:rsid w:val="00586B7B"/>
    <w:rsid w:val="005870C1"/>
    <w:rsid w:val="00587686"/>
    <w:rsid w:val="00587897"/>
    <w:rsid w:val="00587E86"/>
    <w:rsid w:val="00587FCD"/>
    <w:rsid w:val="00590189"/>
    <w:rsid w:val="00590396"/>
    <w:rsid w:val="005904EE"/>
    <w:rsid w:val="005908E7"/>
    <w:rsid w:val="00590CA6"/>
    <w:rsid w:val="00591309"/>
    <w:rsid w:val="00591A14"/>
    <w:rsid w:val="00591AD1"/>
    <w:rsid w:val="00591EE8"/>
    <w:rsid w:val="00591FD4"/>
    <w:rsid w:val="00592764"/>
    <w:rsid w:val="005928CB"/>
    <w:rsid w:val="0059294C"/>
    <w:rsid w:val="00593612"/>
    <w:rsid w:val="005937C4"/>
    <w:rsid w:val="00593B64"/>
    <w:rsid w:val="0059452D"/>
    <w:rsid w:val="00594850"/>
    <w:rsid w:val="00594AF6"/>
    <w:rsid w:val="005952AF"/>
    <w:rsid w:val="00595375"/>
    <w:rsid w:val="00595391"/>
    <w:rsid w:val="0059578C"/>
    <w:rsid w:val="00595B3D"/>
    <w:rsid w:val="00595B64"/>
    <w:rsid w:val="00595B6F"/>
    <w:rsid w:val="00595C5D"/>
    <w:rsid w:val="00595DD1"/>
    <w:rsid w:val="00595E74"/>
    <w:rsid w:val="00596028"/>
    <w:rsid w:val="00596633"/>
    <w:rsid w:val="0059672C"/>
    <w:rsid w:val="005969B1"/>
    <w:rsid w:val="005977F6"/>
    <w:rsid w:val="005978A4"/>
    <w:rsid w:val="0059791F"/>
    <w:rsid w:val="00597CD9"/>
    <w:rsid w:val="005A03F0"/>
    <w:rsid w:val="005A0509"/>
    <w:rsid w:val="005A067D"/>
    <w:rsid w:val="005A06ED"/>
    <w:rsid w:val="005A076E"/>
    <w:rsid w:val="005A07B5"/>
    <w:rsid w:val="005A07BA"/>
    <w:rsid w:val="005A07CB"/>
    <w:rsid w:val="005A1CBF"/>
    <w:rsid w:val="005A1F57"/>
    <w:rsid w:val="005A2258"/>
    <w:rsid w:val="005A2311"/>
    <w:rsid w:val="005A283F"/>
    <w:rsid w:val="005A2882"/>
    <w:rsid w:val="005A2B55"/>
    <w:rsid w:val="005A2FB9"/>
    <w:rsid w:val="005A3007"/>
    <w:rsid w:val="005A3896"/>
    <w:rsid w:val="005A3D90"/>
    <w:rsid w:val="005A3F3C"/>
    <w:rsid w:val="005A4990"/>
    <w:rsid w:val="005A49EC"/>
    <w:rsid w:val="005A507C"/>
    <w:rsid w:val="005A52B8"/>
    <w:rsid w:val="005A5348"/>
    <w:rsid w:val="005A5507"/>
    <w:rsid w:val="005A6688"/>
    <w:rsid w:val="005A6C9D"/>
    <w:rsid w:val="005A6ECE"/>
    <w:rsid w:val="005A6F98"/>
    <w:rsid w:val="005A7903"/>
    <w:rsid w:val="005B0009"/>
    <w:rsid w:val="005B01DA"/>
    <w:rsid w:val="005B0EE9"/>
    <w:rsid w:val="005B1B74"/>
    <w:rsid w:val="005B2379"/>
    <w:rsid w:val="005B23C2"/>
    <w:rsid w:val="005B2A74"/>
    <w:rsid w:val="005B2B5B"/>
    <w:rsid w:val="005B2BDB"/>
    <w:rsid w:val="005B2E76"/>
    <w:rsid w:val="005B3117"/>
    <w:rsid w:val="005B38DD"/>
    <w:rsid w:val="005B49DA"/>
    <w:rsid w:val="005B50AC"/>
    <w:rsid w:val="005B50D3"/>
    <w:rsid w:val="005B52F0"/>
    <w:rsid w:val="005B54C7"/>
    <w:rsid w:val="005B56B5"/>
    <w:rsid w:val="005B572C"/>
    <w:rsid w:val="005B5CC8"/>
    <w:rsid w:val="005B6211"/>
    <w:rsid w:val="005B62C3"/>
    <w:rsid w:val="005B6532"/>
    <w:rsid w:val="005B68D6"/>
    <w:rsid w:val="005B68E1"/>
    <w:rsid w:val="005B6EFD"/>
    <w:rsid w:val="005B6F81"/>
    <w:rsid w:val="005B712E"/>
    <w:rsid w:val="005B71A9"/>
    <w:rsid w:val="005B79C9"/>
    <w:rsid w:val="005B7E3F"/>
    <w:rsid w:val="005C0822"/>
    <w:rsid w:val="005C09FB"/>
    <w:rsid w:val="005C0D26"/>
    <w:rsid w:val="005C0DEC"/>
    <w:rsid w:val="005C151C"/>
    <w:rsid w:val="005C15B1"/>
    <w:rsid w:val="005C27C5"/>
    <w:rsid w:val="005C29B9"/>
    <w:rsid w:val="005C2DA9"/>
    <w:rsid w:val="005C3420"/>
    <w:rsid w:val="005C3620"/>
    <w:rsid w:val="005C3905"/>
    <w:rsid w:val="005C3A60"/>
    <w:rsid w:val="005C3C1A"/>
    <w:rsid w:val="005C3DF6"/>
    <w:rsid w:val="005C4562"/>
    <w:rsid w:val="005C4769"/>
    <w:rsid w:val="005C59D0"/>
    <w:rsid w:val="005C5A1E"/>
    <w:rsid w:val="005C5B2F"/>
    <w:rsid w:val="005C606A"/>
    <w:rsid w:val="005C6232"/>
    <w:rsid w:val="005C6BE4"/>
    <w:rsid w:val="005C6D8B"/>
    <w:rsid w:val="005C6F0C"/>
    <w:rsid w:val="005C7078"/>
    <w:rsid w:val="005C781C"/>
    <w:rsid w:val="005C79F3"/>
    <w:rsid w:val="005C7A81"/>
    <w:rsid w:val="005D1251"/>
    <w:rsid w:val="005D1641"/>
    <w:rsid w:val="005D1882"/>
    <w:rsid w:val="005D1A6B"/>
    <w:rsid w:val="005D25D4"/>
    <w:rsid w:val="005D27CA"/>
    <w:rsid w:val="005D2922"/>
    <w:rsid w:val="005D29FD"/>
    <w:rsid w:val="005D2B9D"/>
    <w:rsid w:val="005D2E07"/>
    <w:rsid w:val="005D2E0C"/>
    <w:rsid w:val="005D3011"/>
    <w:rsid w:val="005D3052"/>
    <w:rsid w:val="005D31B8"/>
    <w:rsid w:val="005D3619"/>
    <w:rsid w:val="005D3EC2"/>
    <w:rsid w:val="005D429C"/>
    <w:rsid w:val="005D47EF"/>
    <w:rsid w:val="005D4909"/>
    <w:rsid w:val="005D4DB0"/>
    <w:rsid w:val="005D5E4B"/>
    <w:rsid w:val="005D5F4A"/>
    <w:rsid w:val="005D6694"/>
    <w:rsid w:val="005D68E4"/>
    <w:rsid w:val="005D6912"/>
    <w:rsid w:val="005D69C5"/>
    <w:rsid w:val="005D6EDB"/>
    <w:rsid w:val="005D7273"/>
    <w:rsid w:val="005D75ED"/>
    <w:rsid w:val="005D773F"/>
    <w:rsid w:val="005D783B"/>
    <w:rsid w:val="005D7971"/>
    <w:rsid w:val="005E038C"/>
    <w:rsid w:val="005E07E8"/>
    <w:rsid w:val="005E09AF"/>
    <w:rsid w:val="005E09C7"/>
    <w:rsid w:val="005E0E09"/>
    <w:rsid w:val="005E0EB8"/>
    <w:rsid w:val="005E1103"/>
    <w:rsid w:val="005E13C0"/>
    <w:rsid w:val="005E1B28"/>
    <w:rsid w:val="005E1DD7"/>
    <w:rsid w:val="005E21C5"/>
    <w:rsid w:val="005E24DA"/>
    <w:rsid w:val="005E271F"/>
    <w:rsid w:val="005E2BB4"/>
    <w:rsid w:val="005E2CC4"/>
    <w:rsid w:val="005E2D01"/>
    <w:rsid w:val="005E34A6"/>
    <w:rsid w:val="005E3722"/>
    <w:rsid w:val="005E3998"/>
    <w:rsid w:val="005E399B"/>
    <w:rsid w:val="005E4141"/>
    <w:rsid w:val="005E43E3"/>
    <w:rsid w:val="005E4639"/>
    <w:rsid w:val="005E4BA9"/>
    <w:rsid w:val="005E5099"/>
    <w:rsid w:val="005E53F5"/>
    <w:rsid w:val="005E5D02"/>
    <w:rsid w:val="005E619E"/>
    <w:rsid w:val="005E6473"/>
    <w:rsid w:val="005E6495"/>
    <w:rsid w:val="005E6A9C"/>
    <w:rsid w:val="005E6CBD"/>
    <w:rsid w:val="005E6E6D"/>
    <w:rsid w:val="005E7B63"/>
    <w:rsid w:val="005E7CF5"/>
    <w:rsid w:val="005E7FE2"/>
    <w:rsid w:val="005F00E4"/>
    <w:rsid w:val="005F091E"/>
    <w:rsid w:val="005F0A9D"/>
    <w:rsid w:val="005F0CC6"/>
    <w:rsid w:val="005F0E98"/>
    <w:rsid w:val="005F1307"/>
    <w:rsid w:val="005F14F6"/>
    <w:rsid w:val="005F1654"/>
    <w:rsid w:val="005F18A8"/>
    <w:rsid w:val="005F1981"/>
    <w:rsid w:val="005F1D92"/>
    <w:rsid w:val="005F2450"/>
    <w:rsid w:val="005F29BC"/>
    <w:rsid w:val="005F2DD2"/>
    <w:rsid w:val="005F3889"/>
    <w:rsid w:val="005F38B6"/>
    <w:rsid w:val="005F3E31"/>
    <w:rsid w:val="005F3E97"/>
    <w:rsid w:val="005F41DF"/>
    <w:rsid w:val="005F44CD"/>
    <w:rsid w:val="005F4BD7"/>
    <w:rsid w:val="005F4ED5"/>
    <w:rsid w:val="005F5964"/>
    <w:rsid w:val="005F5CB8"/>
    <w:rsid w:val="005F5FC0"/>
    <w:rsid w:val="005F6378"/>
    <w:rsid w:val="005F644E"/>
    <w:rsid w:val="005F65EF"/>
    <w:rsid w:val="005F6673"/>
    <w:rsid w:val="005F69BC"/>
    <w:rsid w:val="005F6FD8"/>
    <w:rsid w:val="005F7531"/>
    <w:rsid w:val="005F7D1D"/>
    <w:rsid w:val="005F7DFC"/>
    <w:rsid w:val="006001D7"/>
    <w:rsid w:val="006003FA"/>
    <w:rsid w:val="006005F7"/>
    <w:rsid w:val="00600B5D"/>
    <w:rsid w:val="00601106"/>
    <w:rsid w:val="006012C1"/>
    <w:rsid w:val="00601737"/>
    <w:rsid w:val="006019D1"/>
    <w:rsid w:val="00601E16"/>
    <w:rsid w:val="006022DC"/>
    <w:rsid w:val="00602310"/>
    <w:rsid w:val="006023A6"/>
    <w:rsid w:val="0060270F"/>
    <w:rsid w:val="00602D21"/>
    <w:rsid w:val="00603394"/>
    <w:rsid w:val="006033DC"/>
    <w:rsid w:val="0060361B"/>
    <w:rsid w:val="00603770"/>
    <w:rsid w:val="00603B5E"/>
    <w:rsid w:val="00603DDB"/>
    <w:rsid w:val="00603E07"/>
    <w:rsid w:val="006043B3"/>
    <w:rsid w:val="006046A5"/>
    <w:rsid w:val="00604AA9"/>
    <w:rsid w:val="00605795"/>
    <w:rsid w:val="00605BAE"/>
    <w:rsid w:val="00605E6A"/>
    <w:rsid w:val="00606438"/>
    <w:rsid w:val="00606484"/>
    <w:rsid w:val="006065F9"/>
    <w:rsid w:val="006068F3"/>
    <w:rsid w:val="00606AFF"/>
    <w:rsid w:val="00606BA9"/>
    <w:rsid w:val="00606C9D"/>
    <w:rsid w:val="00606E2C"/>
    <w:rsid w:val="00606F9C"/>
    <w:rsid w:val="006073FD"/>
    <w:rsid w:val="0060786F"/>
    <w:rsid w:val="00607AC8"/>
    <w:rsid w:val="00607F17"/>
    <w:rsid w:val="00610091"/>
    <w:rsid w:val="006100CC"/>
    <w:rsid w:val="0061043C"/>
    <w:rsid w:val="0061067B"/>
    <w:rsid w:val="00610711"/>
    <w:rsid w:val="006111F3"/>
    <w:rsid w:val="00611228"/>
    <w:rsid w:val="006113A5"/>
    <w:rsid w:val="00611924"/>
    <w:rsid w:val="00611DCB"/>
    <w:rsid w:val="0061272F"/>
    <w:rsid w:val="00612A5B"/>
    <w:rsid w:val="00613753"/>
    <w:rsid w:val="00613E17"/>
    <w:rsid w:val="00614E66"/>
    <w:rsid w:val="0061512B"/>
    <w:rsid w:val="00615602"/>
    <w:rsid w:val="00615AFC"/>
    <w:rsid w:val="00615C2E"/>
    <w:rsid w:val="00616495"/>
    <w:rsid w:val="006164C6"/>
    <w:rsid w:val="00616569"/>
    <w:rsid w:val="00616DC9"/>
    <w:rsid w:val="00616E1B"/>
    <w:rsid w:val="00616EE7"/>
    <w:rsid w:val="00617590"/>
    <w:rsid w:val="00617931"/>
    <w:rsid w:val="006201BF"/>
    <w:rsid w:val="006203C9"/>
    <w:rsid w:val="0062083A"/>
    <w:rsid w:val="00620A57"/>
    <w:rsid w:val="00620F59"/>
    <w:rsid w:val="006212F3"/>
    <w:rsid w:val="00621396"/>
    <w:rsid w:val="00621415"/>
    <w:rsid w:val="00621729"/>
    <w:rsid w:val="006217B9"/>
    <w:rsid w:val="00621FD7"/>
    <w:rsid w:val="00621FEF"/>
    <w:rsid w:val="006227EF"/>
    <w:rsid w:val="00622AD0"/>
    <w:rsid w:val="00622E90"/>
    <w:rsid w:val="00622E91"/>
    <w:rsid w:val="0062480F"/>
    <w:rsid w:val="006248EF"/>
    <w:rsid w:val="00624C1F"/>
    <w:rsid w:val="00624C8D"/>
    <w:rsid w:val="00625370"/>
    <w:rsid w:val="006256D8"/>
    <w:rsid w:val="00625769"/>
    <w:rsid w:val="006257E7"/>
    <w:rsid w:val="00625872"/>
    <w:rsid w:val="00625A5F"/>
    <w:rsid w:val="00625E5D"/>
    <w:rsid w:val="006267D0"/>
    <w:rsid w:val="00626A3F"/>
    <w:rsid w:val="00626E2F"/>
    <w:rsid w:val="00626E8F"/>
    <w:rsid w:val="00627426"/>
    <w:rsid w:val="0062756C"/>
    <w:rsid w:val="0062769F"/>
    <w:rsid w:val="00630208"/>
    <w:rsid w:val="006308C7"/>
    <w:rsid w:val="00631478"/>
    <w:rsid w:val="00631831"/>
    <w:rsid w:val="00631F28"/>
    <w:rsid w:val="006321BA"/>
    <w:rsid w:val="0063227E"/>
    <w:rsid w:val="006324C9"/>
    <w:rsid w:val="00632AFF"/>
    <w:rsid w:val="00632FED"/>
    <w:rsid w:val="006330D5"/>
    <w:rsid w:val="006331AE"/>
    <w:rsid w:val="006334CC"/>
    <w:rsid w:val="00633534"/>
    <w:rsid w:val="006335FB"/>
    <w:rsid w:val="00633890"/>
    <w:rsid w:val="00633D15"/>
    <w:rsid w:val="00633FEF"/>
    <w:rsid w:val="00634608"/>
    <w:rsid w:val="006350A3"/>
    <w:rsid w:val="00635392"/>
    <w:rsid w:val="00635428"/>
    <w:rsid w:val="00635B1A"/>
    <w:rsid w:val="00635B63"/>
    <w:rsid w:val="00635B99"/>
    <w:rsid w:val="00635F51"/>
    <w:rsid w:val="00636105"/>
    <w:rsid w:val="00636467"/>
    <w:rsid w:val="00636524"/>
    <w:rsid w:val="00636576"/>
    <w:rsid w:val="00636743"/>
    <w:rsid w:val="00636764"/>
    <w:rsid w:val="00636925"/>
    <w:rsid w:val="006369FA"/>
    <w:rsid w:val="00637433"/>
    <w:rsid w:val="00637491"/>
    <w:rsid w:val="006376BD"/>
    <w:rsid w:val="00637879"/>
    <w:rsid w:val="00640220"/>
    <w:rsid w:val="00640938"/>
    <w:rsid w:val="00640AA9"/>
    <w:rsid w:val="00640C5F"/>
    <w:rsid w:val="00640DE2"/>
    <w:rsid w:val="00640E72"/>
    <w:rsid w:val="00641A39"/>
    <w:rsid w:val="00641B18"/>
    <w:rsid w:val="00642426"/>
    <w:rsid w:val="00642543"/>
    <w:rsid w:val="00642614"/>
    <w:rsid w:val="00642909"/>
    <w:rsid w:val="00642A94"/>
    <w:rsid w:val="00642B72"/>
    <w:rsid w:val="00642DE1"/>
    <w:rsid w:val="00643064"/>
    <w:rsid w:val="006434BA"/>
    <w:rsid w:val="0064357A"/>
    <w:rsid w:val="00643848"/>
    <w:rsid w:val="00643BF6"/>
    <w:rsid w:val="00643EA8"/>
    <w:rsid w:val="00643F79"/>
    <w:rsid w:val="00644867"/>
    <w:rsid w:val="00644B30"/>
    <w:rsid w:val="00644B9B"/>
    <w:rsid w:val="006452FE"/>
    <w:rsid w:val="006455A8"/>
    <w:rsid w:val="00645F54"/>
    <w:rsid w:val="00645FF9"/>
    <w:rsid w:val="00646356"/>
    <w:rsid w:val="00646564"/>
    <w:rsid w:val="0064663F"/>
    <w:rsid w:val="00646918"/>
    <w:rsid w:val="00646B30"/>
    <w:rsid w:val="00646D2D"/>
    <w:rsid w:val="00646FEA"/>
    <w:rsid w:val="00647138"/>
    <w:rsid w:val="00647439"/>
    <w:rsid w:val="00647536"/>
    <w:rsid w:val="006475A0"/>
    <w:rsid w:val="00647757"/>
    <w:rsid w:val="00647EF4"/>
    <w:rsid w:val="00650143"/>
    <w:rsid w:val="006506B8"/>
    <w:rsid w:val="00650753"/>
    <w:rsid w:val="0065092A"/>
    <w:rsid w:val="00650BC8"/>
    <w:rsid w:val="006514B5"/>
    <w:rsid w:val="006516F0"/>
    <w:rsid w:val="00652235"/>
    <w:rsid w:val="006524A9"/>
    <w:rsid w:val="00652C0D"/>
    <w:rsid w:val="0065338E"/>
    <w:rsid w:val="00653653"/>
    <w:rsid w:val="00653697"/>
    <w:rsid w:val="00653C01"/>
    <w:rsid w:val="00653DAC"/>
    <w:rsid w:val="006542B5"/>
    <w:rsid w:val="006544E4"/>
    <w:rsid w:val="0065453F"/>
    <w:rsid w:val="00654CE9"/>
    <w:rsid w:val="00655128"/>
    <w:rsid w:val="0065576F"/>
    <w:rsid w:val="00655858"/>
    <w:rsid w:val="00655FB8"/>
    <w:rsid w:val="006562B9"/>
    <w:rsid w:val="00656338"/>
    <w:rsid w:val="006568FF"/>
    <w:rsid w:val="00656990"/>
    <w:rsid w:val="00656EE6"/>
    <w:rsid w:val="00657203"/>
    <w:rsid w:val="0065720F"/>
    <w:rsid w:val="00657BA4"/>
    <w:rsid w:val="00660011"/>
    <w:rsid w:val="006603B9"/>
    <w:rsid w:val="0066061C"/>
    <w:rsid w:val="00660623"/>
    <w:rsid w:val="0066086C"/>
    <w:rsid w:val="006608D8"/>
    <w:rsid w:val="0066093B"/>
    <w:rsid w:val="00660E8F"/>
    <w:rsid w:val="00660EEC"/>
    <w:rsid w:val="00660F76"/>
    <w:rsid w:val="006611AC"/>
    <w:rsid w:val="006611D4"/>
    <w:rsid w:val="00661A1E"/>
    <w:rsid w:val="00661B49"/>
    <w:rsid w:val="00661FB5"/>
    <w:rsid w:val="006621D3"/>
    <w:rsid w:val="00662D61"/>
    <w:rsid w:val="00663450"/>
    <w:rsid w:val="006635C6"/>
    <w:rsid w:val="00663690"/>
    <w:rsid w:val="0066386B"/>
    <w:rsid w:val="0066413B"/>
    <w:rsid w:val="00664326"/>
    <w:rsid w:val="006643E4"/>
    <w:rsid w:val="00664534"/>
    <w:rsid w:val="0066457B"/>
    <w:rsid w:val="006645B8"/>
    <w:rsid w:val="0066478E"/>
    <w:rsid w:val="00664CD1"/>
    <w:rsid w:val="00664F47"/>
    <w:rsid w:val="00664FBD"/>
    <w:rsid w:val="006651BF"/>
    <w:rsid w:val="00665739"/>
    <w:rsid w:val="00665B2E"/>
    <w:rsid w:val="00665BBB"/>
    <w:rsid w:val="00665CA4"/>
    <w:rsid w:val="00666230"/>
    <w:rsid w:val="00666506"/>
    <w:rsid w:val="00666E66"/>
    <w:rsid w:val="0066756C"/>
    <w:rsid w:val="00667DA4"/>
    <w:rsid w:val="00667F90"/>
    <w:rsid w:val="006707BF"/>
    <w:rsid w:val="00670B84"/>
    <w:rsid w:val="00670F35"/>
    <w:rsid w:val="006717AA"/>
    <w:rsid w:val="00671EBF"/>
    <w:rsid w:val="006721ED"/>
    <w:rsid w:val="006725D8"/>
    <w:rsid w:val="006734FB"/>
    <w:rsid w:val="0067372F"/>
    <w:rsid w:val="00673A85"/>
    <w:rsid w:val="00673E7A"/>
    <w:rsid w:val="006740D3"/>
    <w:rsid w:val="0067432F"/>
    <w:rsid w:val="006748E7"/>
    <w:rsid w:val="00674A6F"/>
    <w:rsid w:val="00674CE4"/>
    <w:rsid w:val="006750F7"/>
    <w:rsid w:val="0067553D"/>
    <w:rsid w:val="00676343"/>
    <w:rsid w:val="006767EE"/>
    <w:rsid w:val="00677460"/>
    <w:rsid w:val="00677D76"/>
    <w:rsid w:val="00677F8A"/>
    <w:rsid w:val="00677FE3"/>
    <w:rsid w:val="006802C4"/>
    <w:rsid w:val="00680872"/>
    <w:rsid w:val="006810C8"/>
    <w:rsid w:val="006812E4"/>
    <w:rsid w:val="00681CE5"/>
    <w:rsid w:val="00681F1F"/>
    <w:rsid w:val="00681F69"/>
    <w:rsid w:val="0068236B"/>
    <w:rsid w:val="0068243C"/>
    <w:rsid w:val="006825ED"/>
    <w:rsid w:val="00682EE3"/>
    <w:rsid w:val="0068301B"/>
    <w:rsid w:val="006832A5"/>
    <w:rsid w:val="00683439"/>
    <w:rsid w:val="00683824"/>
    <w:rsid w:val="00683E35"/>
    <w:rsid w:val="00683FF9"/>
    <w:rsid w:val="006848B9"/>
    <w:rsid w:val="006848FD"/>
    <w:rsid w:val="00684B30"/>
    <w:rsid w:val="00684BC8"/>
    <w:rsid w:val="00684CEA"/>
    <w:rsid w:val="00685039"/>
    <w:rsid w:val="00685714"/>
    <w:rsid w:val="0068572D"/>
    <w:rsid w:val="00686165"/>
    <w:rsid w:val="00686815"/>
    <w:rsid w:val="00686DF5"/>
    <w:rsid w:val="0068745C"/>
    <w:rsid w:val="006875BC"/>
    <w:rsid w:val="00687672"/>
    <w:rsid w:val="006902B8"/>
    <w:rsid w:val="006903E1"/>
    <w:rsid w:val="00691781"/>
    <w:rsid w:val="00691BA5"/>
    <w:rsid w:val="00691D80"/>
    <w:rsid w:val="00691DAD"/>
    <w:rsid w:val="00691F9A"/>
    <w:rsid w:val="00692068"/>
    <w:rsid w:val="006921CC"/>
    <w:rsid w:val="00692441"/>
    <w:rsid w:val="006928FD"/>
    <w:rsid w:val="00692B07"/>
    <w:rsid w:val="00692BE2"/>
    <w:rsid w:val="006932C2"/>
    <w:rsid w:val="006936FB"/>
    <w:rsid w:val="00693881"/>
    <w:rsid w:val="00693D08"/>
    <w:rsid w:val="00694356"/>
    <w:rsid w:val="00694638"/>
    <w:rsid w:val="00694950"/>
    <w:rsid w:val="00694C85"/>
    <w:rsid w:val="00694FFA"/>
    <w:rsid w:val="006950DD"/>
    <w:rsid w:val="0069523D"/>
    <w:rsid w:val="00695C8D"/>
    <w:rsid w:val="0069606C"/>
    <w:rsid w:val="0069641A"/>
    <w:rsid w:val="0069699C"/>
    <w:rsid w:val="00696FE8"/>
    <w:rsid w:val="00697399"/>
    <w:rsid w:val="00697BEB"/>
    <w:rsid w:val="00697C21"/>
    <w:rsid w:val="006A04DF"/>
    <w:rsid w:val="006A065B"/>
    <w:rsid w:val="006A0A44"/>
    <w:rsid w:val="006A0A6B"/>
    <w:rsid w:val="006A0A9D"/>
    <w:rsid w:val="006A152B"/>
    <w:rsid w:val="006A1798"/>
    <w:rsid w:val="006A19C3"/>
    <w:rsid w:val="006A1E9C"/>
    <w:rsid w:val="006A20D6"/>
    <w:rsid w:val="006A238A"/>
    <w:rsid w:val="006A2498"/>
    <w:rsid w:val="006A251A"/>
    <w:rsid w:val="006A2685"/>
    <w:rsid w:val="006A268D"/>
    <w:rsid w:val="006A2809"/>
    <w:rsid w:val="006A28A0"/>
    <w:rsid w:val="006A351C"/>
    <w:rsid w:val="006A3FC4"/>
    <w:rsid w:val="006A47E9"/>
    <w:rsid w:val="006A4C60"/>
    <w:rsid w:val="006A4FEE"/>
    <w:rsid w:val="006A531F"/>
    <w:rsid w:val="006A5745"/>
    <w:rsid w:val="006A58C7"/>
    <w:rsid w:val="006A58FE"/>
    <w:rsid w:val="006A5C21"/>
    <w:rsid w:val="006A5CB1"/>
    <w:rsid w:val="006A5FEC"/>
    <w:rsid w:val="006A6131"/>
    <w:rsid w:val="006A67BC"/>
    <w:rsid w:val="006A6F39"/>
    <w:rsid w:val="006A7477"/>
    <w:rsid w:val="006A747D"/>
    <w:rsid w:val="006A7504"/>
    <w:rsid w:val="006A7711"/>
    <w:rsid w:val="006A7B6C"/>
    <w:rsid w:val="006A7C38"/>
    <w:rsid w:val="006A7F1C"/>
    <w:rsid w:val="006B0012"/>
    <w:rsid w:val="006B01EE"/>
    <w:rsid w:val="006B038C"/>
    <w:rsid w:val="006B03CA"/>
    <w:rsid w:val="006B0D83"/>
    <w:rsid w:val="006B1344"/>
    <w:rsid w:val="006B146C"/>
    <w:rsid w:val="006B1655"/>
    <w:rsid w:val="006B1902"/>
    <w:rsid w:val="006B1911"/>
    <w:rsid w:val="006B1B69"/>
    <w:rsid w:val="006B1E3C"/>
    <w:rsid w:val="006B1EDF"/>
    <w:rsid w:val="006B1F06"/>
    <w:rsid w:val="006B2195"/>
    <w:rsid w:val="006B2281"/>
    <w:rsid w:val="006B26BA"/>
    <w:rsid w:val="006B2948"/>
    <w:rsid w:val="006B2D1C"/>
    <w:rsid w:val="006B3041"/>
    <w:rsid w:val="006B3097"/>
    <w:rsid w:val="006B34EA"/>
    <w:rsid w:val="006B4560"/>
    <w:rsid w:val="006B48C7"/>
    <w:rsid w:val="006B4980"/>
    <w:rsid w:val="006B554C"/>
    <w:rsid w:val="006B55CB"/>
    <w:rsid w:val="006B5AC7"/>
    <w:rsid w:val="006B5DBF"/>
    <w:rsid w:val="006B67DE"/>
    <w:rsid w:val="006B6E30"/>
    <w:rsid w:val="006B6FD7"/>
    <w:rsid w:val="006B7348"/>
    <w:rsid w:val="006B7A91"/>
    <w:rsid w:val="006C05E2"/>
    <w:rsid w:val="006C154A"/>
    <w:rsid w:val="006C1886"/>
    <w:rsid w:val="006C1AF6"/>
    <w:rsid w:val="006C1B50"/>
    <w:rsid w:val="006C20EE"/>
    <w:rsid w:val="006C21EC"/>
    <w:rsid w:val="006C2216"/>
    <w:rsid w:val="006C22FD"/>
    <w:rsid w:val="006C25C6"/>
    <w:rsid w:val="006C2C8D"/>
    <w:rsid w:val="006C2EE3"/>
    <w:rsid w:val="006C2F14"/>
    <w:rsid w:val="006C2F39"/>
    <w:rsid w:val="006C2FC2"/>
    <w:rsid w:val="006C321B"/>
    <w:rsid w:val="006C3D32"/>
    <w:rsid w:val="006C3DBD"/>
    <w:rsid w:val="006C4343"/>
    <w:rsid w:val="006C462D"/>
    <w:rsid w:val="006C49F3"/>
    <w:rsid w:val="006C529F"/>
    <w:rsid w:val="006C54BF"/>
    <w:rsid w:val="006C576E"/>
    <w:rsid w:val="006C58F0"/>
    <w:rsid w:val="006C59BB"/>
    <w:rsid w:val="006C5D97"/>
    <w:rsid w:val="006C65C1"/>
    <w:rsid w:val="006C7259"/>
    <w:rsid w:val="006C7650"/>
    <w:rsid w:val="006C7A0C"/>
    <w:rsid w:val="006C7DBB"/>
    <w:rsid w:val="006C7E11"/>
    <w:rsid w:val="006C7F2B"/>
    <w:rsid w:val="006D005D"/>
    <w:rsid w:val="006D01BB"/>
    <w:rsid w:val="006D0F49"/>
    <w:rsid w:val="006D19B1"/>
    <w:rsid w:val="006D1B9D"/>
    <w:rsid w:val="006D1DC7"/>
    <w:rsid w:val="006D1E9B"/>
    <w:rsid w:val="006D30FF"/>
    <w:rsid w:val="006D394F"/>
    <w:rsid w:val="006D3BC9"/>
    <w:rsid w:val="006D411C"/>
    <w:rsid w:val="006D43F4"/>
    <w:rsid w:val="006D48E9"/>
    <w:rsid w:val="006D53A6"/>
    <w:rsid w:val="006D5428"/>
    <w:rsid w:val="006D583C"/>
    <w:rsid w:val="006D5891"/>
    <w:rsid w:val="006D59D7"/>
    <w:rsid w:val="006D5CDF"/>
    <w:rsid w:val="006D5E4C"/>
    <w:rsid w:val="006D6310"/>
    <w:rsid w:val="006D649D"/>
    <w:rsid w:val="006D6FC0"/>
    <w:rsid w:val="006D713A"/>
    <w:rsid w:val="006D71BB"/>
    <w:rsid w:val="006D7288"/>
    <w:rsid w:val="006D7A80"/>
    <w:rsid w:val="006E022F"/>
    <w:rsid w:val="006E0456"/>
    <w:rsid w:val="006E0883"/>
    <w:rsid w:val="006E0AE8"/>
    <w:rsid w:val="006E0CA3"/>
    <w:rsid w:val="006E1243"/>
    <w:rsid w:val="006E1287"/>
    <w:rsid w:val="006E13EF"/>
    <w:rsid w:val="006E14D8"/>
    <w:rsid w:val="006E1537"/>
    <w:rsid w:val="006E17DF"/>
    <w:rsid w:val="006E2002"/>
    <w:rsid w:val="006E215A"/>
    <w:rsid w:val="006E235B"/>
    <w:rsid w:val="006E2365"/>
    <w:rsid w:val="006E28ED"/>
    <w:rsid w:val="006E2A2A"/>
    <w:rsid w:val="006E2A41"/>
    <w:rsid w:val="006E2AE4"/>
    <w:rsid w:val="006E2BCB"/>
    <w:rsid w:val="006E3060"/>
    <w:rsid w:val="006E33B1"/>
    <w:rsid w:val="006E34C1"/>
    <w:rsid w:val="006E36CD"/>
    <w:rsid w:val="006E4170"/>
    <w:rsid w:val="006E4329"/>
    <w:rsid w:val="006E46C7"/>
    <w:rsid w:val="006E4C3D"/>
    <w:rsid w:val="006E5208"/>
    <w:rsid w:val="006E52CB"/>
    <w:rsid w:val="006E557F"/>
    <w:rsid w:val="006E571E"/>
    <w:rsid w:val="006E58E5"/>
    <w:rsid w:val="006E5B7A"/>
    <w:rsid w:val="006E640B"/>
    <w:rsid w:val="006E6523"/>
    <w:rsid w:val="006E6B38"/>
    <w:rsid w:val="006E6B46"/>
    <w:rsid w:val="006E6DA4"/>
    <w:rsid w:val="006E6F39"/>
    <w:rsid w:val="006E737E"/>
    <w:rsid w:val="006E7479"/>
    <w:rsid w:val="006E7653"/>
    <w:rsid w:val="006E7683"/>
    <w:rsid w:val="006E7BE3"/>
    <w:rsid w:val="006F01A9"/>
    <w:rsid w:val="006F01E1"/>
    <w:rsid w:val="006F02A3"/>
    <w:rsid w:val="006F0750"/>
    <w:rsid w:val="006F0759"/>
    <w:rsid w:val="006F15F5"/>
    <w:rsid w:val="006F1996"/>
    <w:rsid w:val="006F1FDB"/>
    <w:rsid w:val="006F257D"/>
    <w:rsid w:val="006F2C5D"/>
    <w:rsid w:val="006F2DFD"/>
    <w:rsid w:val="006F2E4E"/>
    <w:rsid w:val="006F2F6E"/>
    <w:rsid w:val="006F309C"/>
    <w:rsid w:val="006F30F0"/>
    <w:rsid w:val="006F330A"/>
    <w:rsid w:val="006F37E3"/>
    <w:rsid w:val="006F39A5"/>
    <w:rsid w:val="006F3C5F"/>
    <w:rsid w:val="006F4272"/>
    <w:rsid w:val="006F5457"/>
    <w:rsid w:val="006F5640"/>
    <w:rsid w:val="006F5978"/>
    <w:rsid w:val="006F5A16"/>
    <w:rsid w:val="006F6082"/>
    <w:rsid w:val="006F6372"/>
    <w:rsid w:val="006F6696"/>
    <w:rsid w:val="006F681E"/>
    <w:rsid w:val="006F69DD"/>
    <w:rsid w:val="006F6EF6"/>
    <w:rsid w:val="006F77A4"/>
    <w:rsid w:val="006F7918"/>
    <w:rsid w:val="007002BB"/>
    <w:rsid w:val="0070030B"/>
    <w:rsid w:val="00700B9F"/>
    <w:rsid w:val="00700D84"/>
    <w:rsid w:val="00701340"/>
    <w:rsid w:val="007013F1"/>
    <w:rsid w:val="00701C74"/>
    <w:rsid w:val="00701D2C"/>
    <w:rsid w:val="0070274F"/>
    <w:rsid w:val="007027B5"/>
    <w:rsid w:val="00702817"/>
    <w:rsid w:val="0070328E"/>
    <w:rsid w:val="0070339A"/>
    <w:rsid w:val="00703866"/>
    <w:rsid w:val="00703A5D"/>
    <w:rsid w:val="00703AD9"/>
    <w:rsid w:val="0070419F"/>
    <w:rsid w:val="0070462C"/>
    <w:rsid w:val="0070468B"/>
    <w:rsid w:val="00704756"/>
    <w:rsid w:val="00704A22"/>
    <w:rsid w:val="00704AA0"/>
    <w:rsid w:val="00704ED6"/>
    <w:rsid w:val="007053D3"/>
    <w:rsid w:val="007062A6"/>
    <w:rsid w:val="0070690F"/>
    <w:rsid w:val="0070694C"/>
    <w:rsid w:val="00706CD6"/>
    <w:rsid w:val="007070DA"/>
    <w:rsid w:val="0070768C"/>
    <w:rsid w:val="00707694"/>
    <w:rsid w:val="00710450"/>
    <w:rsid w:val="00710B64"/>
    <w:rsid w:val="00710CB1"/>
    <w:rsid w:val="0071127D"/>
    <w:rsid w:val="00711331"/>
    <w:rsid w:val="007117AF"/>
    <w:rsid w:val="007118F7"/>
    <w:rsid w:val="007119BD"/>
    <w:rsid w:val="00711EFA"/>
    <w:rsid w:val="0071222F"/>
    <w:rsid w:val="007124AF"/>
    <w:rsid w:val="00712FA7"/>
    <w:rsid w:val="007135A1"/>
    <w:rsid w:val="00714040"/>
    <w:rsid w:val="00714201"/>
    <w:rsid w:val="0071440B"/>
    <w:rsid w:val="00714FD0"/>
    <w:rsid w:val="007151F1"/>
    <w:rsid w:val="00715287"/>
    <w:rsid w:val="0071553F"/>
    <w:rsid w:val="00715885"/>
    <w:rsid w:val="00715BC3"/>
    <w:rsid w:val="00715CCC"/>
    <w:rsid w:val="0071675E"/>
    <w:rsid w:val="00716BCB"/>
    <w:rsid w:val="00716E41"/>
    <w:rsid w:val="00717116"/>
    <w:rsid w:val="0071711A"/>
    <w:rsid w:val="00717270"/>
    <w:rsid w:val="00717442"/>
    <w:rsid w:val="007178A2"/>
    <w:rsid w:val="007178C5"/>
    <w:rsid w:val="00717CDE"/>
    <w:rsid w:val="00720798"/>
    <w:rsid w:val="007207E7"/>
    <w:rsid w:val="00720DAF"/>
    <w:rsid w:val="00721237"/>
    <w:rsid w:val="007216E1"/>
    <w:rsid w:val="0072187E"/>
    <w:rsid w:val="00721A08"/>
    <w:rsid w:val="00722472"/>
    <w:rsid w:val="007224B7"/>
    <w:rsid w:val="00722A0D"/>
    <w:rsid w:val="00722F21"/>
    <w:rsid w:val="00722F7B"/>
    <w:rsid w:val="00723099"/>
    <w:rsid w:val="007238DF"/>
    <w:rsid w:val="007244CF"/>
    <w:rsid w:val="0072473E"/>
    <w:rsid w:val="00724BAF"/>
    <w:rsid w:val="00724CAC"/>
    <w:rsid w:val="00724E0D"/>
    <w:rsid w:val="00725018"/>
    <w:rsid w:val="00725F65"/>
    <w:rsid w:val="007261A4"/>
    <w:rsid w:val="0072627A"/>
    <w:rsid w:val="007264CD"/>
    <w:rsid w:val="007269AF"/>
    <w:rsid w:val="007275BF"/>
    <w:rsid w:val="0072769C"/>
    <w:rsid w:val="00727B99"/>
    <w:rsid w:val="00730704"/>
    <w:rsid w:val="00731297"/>
    <w:rsid w:val="00731380"/>
    <w:rsid w:val="00731495"/>
    <w:rsid w:val="007316A8"/>
    <w:rsid w:val="00731C87"/>
    <w:rsid w:val="007322C9"/>
    <w:rsid w:val="00732371"/>
    <w:rsid w:val="00732544"/>
    <w:rsid w:val="00732553"/>
    <w:rsid w:val="007328ED"/>
    <w:rsid w:val="007329FC"/>
    <w:rsid w:val="00732A0B"/>
    <w:rsid w:val="00733339"/>
    <w:rsid w:val="0073345C"/>
    <w:rsid w:val="00733591"/>
    <w:rsid w:val="00733DB1"/>
    <w:rsid w:val="00733F31"/>
    <w:rsid w:val="007347F4"/>
    <w:rsid w:val="007348DC"/>
    <w:rsid w:val="00734DC1"/>
    <w:rsid w:val="007353A6"/>
    <w:rsid w:val="007357B3"/>
    <w:rsid w:val="00735A2C"/>
    <w:rsid w:val="00736161"/>
    <w:rsid w:val="007367AF"/>
    <w:rsid w:val="00736820"/>
    <w:rsid w:val="0073683B"/>
    <w:rsid w:val="00736B94"/>
    <w:rsid w:val="0073739B"/>
    <w:rsid w:val="00737734"/>
    <w:rsid w:val="00737E9A"/>
    <w:rsid w:val="00740152"/>
    <w:rsid w:val="0074054F"/>
    <w:rsid w:val="00740587"/>
    <w:rsid w:val="00740640"/>
    <w:rsid w:val="007407B4"/>
    <w:rsid w:val="007415D6"/>
    <w:rsid w:val="007418EB"/>
    <w:rsid w:val="00741DE6"/>
    <w:rsid w:val="0074207D"/>
    <w:rsid w:val="0074236C"/>
    <w:rsid w:val="007426F7"/>
    <w:rsid w:val="007430F9"/>
    <w:rsid w:val="007438B5"/>
    <w:rsid w:val="00743AE2"/>
    <w:rsid w:val="00743B6A"/>
    <w:rsid w:val="00743D79"/>
    <w:rsid w:val="00743EB1"/>
    <w:rsid w:val="00743EB5"/>
    <w:rsid w:val="00743FC2"/>
    <w:rsid w:val="00744989"/>
    <w:rsid w:val="00744D98"/>
    <w:rsid w:val="00745598"/>
    <w:rsid w:val="007457EE"/>
    <w:rsid w:val="00746129"/>
    <w:rsid w:val="00746132"/>
    <w:rsid w:val="0074620C"/>
    <w:rsid w:val="00746C09"/>
    <w:rsid w:val="007470E9"/>
    <w:rsid w:val="0074768E"/>
    <w:rsid w:val="007507F5"/>
    <w:rsid w:val="007508D5"/>
    <w:rsid w:val="007508F5"/>
    <w:rsid w:val="00750AC4"/>
    <w:rsid w:val="00750F5D"/>
    <w:rsid w:val="007513E5"/>
    <w:rsid w:val="0075155E"/>
    <w:rsid w:val="0075184F"/>
    <w:rsid w:val="00751860"/>
    <w:rsid w:val="00752428"/>
    <w:rsid w:val="00752502"/>
    <w:rsid w:val="00752682"/>
    <w:rsid w:val="0075293E"/>
    <w:rsid w:val="00752C26"/>
    <w:rsid w:val="00752D38"/>
    <w:rsid w:val="00752EE0"/>
    <w:rsid w:val="00752F88"/>
    <w:rsid w:val="00753126"/>
    <w:rsid w:val="0075324F"/>
    <w:rsid w:val="00753381"/>
    <w:rsid w:val="007535B4"/>
    <w:rsid w:val="0075465F"/>
    <w:rsid w:val="007548D5"/>
    <w:rsid w:val="00754D4E"/>
    <w:rsid w:val="007550E9"/>
    <w:rsid w:val="00755EC8"/>
    <w:rsid w:val="00756068"/>
    <w:rsid w:val="007563DB"/>
    <w:rsid w:val="0075648D"/>
    <w:rsid w:val="00756A00"/>
    <w:rsid w:val="00756FF9"/>
    <w:rsid w:val="007571E3"/>
    <w:rsid w:val="007574CF"/>
    <w:rsid w:val="007576EA"/>
    <w:rsid w:val="00757E63"/>
    <w:rsid w:val="007602A1"/>
    <w:rsid w:val="007608A8"/>
    <w:rsid w:val="0076099C"/>
    <w:rsid w:val="00760B89"/>
    <w:rsid w:val="007612DF"/>
    <w:rsid w:val="007613AE"/>
    <w:rsid w:val="007615F9"/>
    <w:rsid w:val="00761687"/>
    <w:rsid w:val="00761E43"/>
    <w:rsid w:val="00762CFC"/>
    <w:rsid w:val="00763610"/>
    <w:rsid w:val="007638C0"/>
    <w:rsid w:val="007646BB"/>
    <w:rsid w:val="00764B0A"/>
    <w:rsid w:val="00764F49"/>
    <w:rsid w:val="00764F54"/>
    <w:rsid w:val="007657CA"/>
    <w:rsid w:val="00765942"/>
    <w:rsid w:val="00765AD3"/>
    <w:rsid w:val="00765DE7"/>
    <w:rsid w:val="00766877"/>
    <w:rsid w:val="007669AD"/>
    <w:rsid w:val="00766A2C"/>
    <w:rsid w:val="0076708F"/>
    <w:rsid w:val="0076742C"/>
    <w:rsid w:val="00767487"/>
    <w:rsid w:val="0076774D"/>
    <w:rsid w:val="007677CD"/>
    <w:rsid w:val="00770506"/>
    <w:rsid w:val="0077053C"/>
    <w:rsid w:val="0077096D"/>
    <w:rsid w:val="00771C09"/>
    <w:rsid w:val="00771CEB"/>
    <w:rsid w:val="00771CF0"/>
    <w:rsid w:val="007722BB"/>
    <w:rsid w:val="00772617"/>
    <w:rsid w:val="007726C8"/>
    <w:rsid w:val="00772BB8"/>
    <w:rsid w:val="00773173"/>
    <w:rsid w:val="0077392D"/>
    <w:rsid w:val="00773A8B"/>
    <w:rsid w:val="00773D3A"/>
    <w:rsid w:val="007740EE"/>
    <w:rsid w:val="00774644"/>
    <w:rsid w:val="007747F1"/>
    <w:rsid w:val="00774908"/>
    <w:rsid w:val="00774B77"/>
    <w:rsid w:val="007751C5"/>
    <w:rsid w:val="007751F3"/>
    <w:rsid w:val="00775709"/>
    <w:rsid w:val="007757BF"/>
    <w:rsid w:val="007757E2"/>
    <w:rsid w:val="00775AF5"/>
    <w:rsid w:val="00775D3D"/>
    <w:rsid w:val="00775D86"/>
    <w:rsid w:val="00775FDF"/>
    <w:rsid w:val="007761E7"/>
    <w:rsid w:val="0077663F"/>
    <w:rsid w:val="00776EFF"/>
    <w:rsid w:val="00777403"/>
    <w:rsid w:val="0077797A"/>
    <w:rsid w:val="00777B01"/>
    <w:rsid w:val="00777B38"/>
    <w:rsid w:val="00777BAF"/>
    <w:rsid w:val="00777F4C"/>
    <w:rsid w:val="00780105"/>
    <w:rsid w:val="0078081F"/>
    <w:rsid w:val="00780954"/>
    <w:rsid w:val="00780FB2"/>
    <w:rsid w:val="007813FD"/>
    <w:rsid w:val="0078256C"/>
    <w:rsid w:val="00782A2A"/>
    <w:rsid w:val="00782A42"/>
    <w:rsid w:val="00782B3A"/>
    <w:rsid w:val="00782ED8"/>
    <w:rsid w:val="007830A3"/>
    <w:rsid w:val="00783197"/>
    <w:rsid w:val="007833E9"/>
    <w:rsid w:val="007848FE"/>
    <w:rsid w:val="00784EE4"/>
    <w:rsid w:val="00785570"/>
    <w:rsid w:val="00785EBF"/>
    <w:rsid w:val="00785FC6"/>
    <w:rsid w:val="00786773"/>
    <w:rsid w:val="007867AD"/>
    <w:rsid w:val="00787050"/>
    <w:rsid w:val="00787248"/>
    <w:rsid w:val="007873FB"/>
    <w:rsid w:val="007875B1"/>
    <w:rsid w:val="00787890"/>
    <w:rsid w:val="00787C93"/>
    <w:rsid w:val="0079024A"/>
    <w:rsid w:val="00790510"/>
    <w:rsid w:val="0079067C"/>
    <w:rsid w:val="0079067E"/>
    <w:rsid w:val="007909FA"/>
    <w:rsid w:val="00790CAE"/>
    <w:rsid w:val="00790CC4"/>
    <w:rsid w:val="0079173E"/>
    <w:rsid w:val="00791DA2"/>
    <w:rsid w:val="00791EBD"/>
    <w:rsid w:val="00792527"/>
    <w:rsid w:val="00792577"/>
    <w:rsid w:val="007926A8"/>
    <w:rsid w:val="0079271A"/>
    <w:rsid w:val="00792F94"/>
    <w:rsid w:val="0079341D"/>
    <w:rsid w:val="00793878"/>
    <w:rsid w:val="00793A56"/>
    <w:rsid w:val="00793AC6"/>
    <w:rsid w:val="00793B19"/>
    <w:rsid w:val="0079555A"/>
    <w:rsid w:val="00795D7D"/>
    <w:rsid w:val="007961FF"/>
    <w:rsid w:val="007969D9"/>
    <w:rsid w:val="00796F30"/>
    <w:rsid w:val="007971E8"/>
    <w:rsid w:val="00797459"/>
    <w:rsid w:val="007976F0"/>
    <w:rsid w:val="00797BA0"/>
    <w:rsid w:val="00797C71"/>
    <w:rsid w:val="007A00D4"/>
    <w:rsid w:val="007A0842"/>
    <w:rsid w:val="007A0C40"/>
    <w:rsid w:val="007A0E71"/>
    <w:rsid w:val="007A11FD"/>
    <w:rsid w:val="007A13F7"/>
    <w:rsid w:val="007A15B8"/>
    <w:rsid w:val="007A18BA"/>
    <w:rsid w:val="007A19F4"/>
    <w:rsid w:val="007A1CE4"/>
    <w:rsid w:val="007A2595"/>
    <w:rsid w:val="007A3E13"/>
    <w:rsid w:val="007A42CB"/>
    <w:rsid w:val="007A45E1"/>
    <w:rsid w:val="007A478A"/>
    <w:rsid w:val="007A47D3"/>
    <w:rsid w:val="007A4B35"/>
    <w:rsid w:val="007A533A"/>
    <w:rsid w:val="007A57C3"/>
    <w:rsid w:val="007A61ED"/>
    <w:rsid w:val="007A6D68"/>
    <w:rsid w:val="007A7327"/>
    <w:rsid w:val="007A785D"/>
    <w:rsid w:val="007A7DCD"/>
    <w:rsid w:val="007B062A"/>
    <w:rsid w:val="007B0CC7"/>
    <w:rsid w:val="007B0EDB"/>
    <w:rsid w:val="007B0F85"/>
    <w:rsid w:val="007B14F5"/>
    <w:rsid w:val="007B16B0"/>
    <w:rsid w:val="007B1DAE"/>
    <w:rsid w:val="007B215B"/>
    <w:rsid w:val="007B2F98"/>
    <w:rsid w:val="007B31CD"/>
    <w:rsid w:val="007B3227"/>
    <w:rsid w:val="007B3FE1"/>
    <w:rsid w:val="007B408B"/>
    <w:rsid w:val="007B42CC"/>
    <w:rsid w:val="007B473D"/>
    <w:rsid w:val="007B49C4"/>
    <w:rsid w:val="007B502F"/>
    <w:rsid w:val="007B52B4"/>
    <w:rsid w:val="007B55FE"/>
    <w:rsid w:val="007B59F2"/>
    <w:rsid w:val="007B5E41"/>
    <w:rsid w:val="007B6673"/>
    <w:rsid w:val="007B6960"/>
    <w:rsid w:val="007B6992"/>
    <w:rsid w:val="007B6A13"/>
    <w:rsid w:val="007B6B86"/>
    <w:rsid w:val="007B6BBF"/>
    <w:rsid w:val="007B6C24"/>
    <w:rsid w:val="007B7293"/>
    <w:rsid w:val="007B7302"/>
    <w:rsid w:val="007B7372"/>
    <w:rsid w:val="007B7AE1"/>
    <w:rsid w:val="007C05C0"/>
    <w:rsid w:val="007C06AA"/>
    <w:rsid w:val="007C0A2A"/>
    <w:rsid w:val="007C16D4"/>
    <w:rsid w:val="007C1836"/>
    <w:rsid w:val="007C1BF6"/>
    <w:rsid w:val="007C1C07"/>
    <w:rsid w:val="007C1D29"/>
    <w:rsid w:val="007C1F20"/>
    <w:rsid w:val="007C22E2"/>
    <w:rsid w:val="007C2598"/>
    <w:rsid w:val="007C261E"/>
    <w:rsid w:val="007C2C35"/>
    <w:rsid w:val="007C2D2D"/>
    <w:rsid w:val="007C2EB8"/>
    <w:rsid w:val="007C2EE9"/>
    <w:rsid w:val="007C2F06"/>
    <w:rsid w:val="007C3171"/>
    <w:rsid w:val="007C3371"/>
    <w:rsid w:val="007C3509"/>
    <w:rsid w:val="007C35DE"/>
    <w:rsid w:val="007C37E5"/>
    <w:rsid w:val="007C3876"/>
    <w:rsid w:val="007C3B65"/>
    <w:rsid w:val="007C430C"/>
    <w:rsid w:val="007C4345"/>
    <w:rsid w:val="007C44B3"/>
    <w:rsid w:val="007C45FE"/>
    <w:rsid w:val="007C4715"/>
    <w:rsid w:val="007C4BBA"/>
    <w:rsid w:val="007C4E1E"/>
    <w:rsid w:val="007C54EF"/>
    <w:rsid w:val="007C5711"/>
    <w:rsid w:val="007C57AC"/>
    <w:rsid w:val="007C599C"/>
    <w:rsid w:val="007C6710"/>
    <w:rsid w:val="007C6EE4"/>
    <w:rsid w:val="007C724B"/>
    <w:rsid w:val="007C72DF"/>
    <w:rsid w:val="007C78D8"/>
    <w:rsid w:val="007C79C0"/>
    <w:rsid w:val="007C7BC7"/>
    <w:rsid w:val="007D063D"/>
    <w:rsid w:val="007D0DF2"/>
    <w:rsid w:val="007D3315"/>
    <w:rsid w:val="007D35FC"/>
    <w:rsid w:val="007D3620"/>
    <w:rsid w:val="007D3717"/>
    <w:rsid w:val="007D37D7"/>
    <w:rsid w:val="007D390B"/>
    <w:rsid w:val="007D39A2"/>
    <w:rsid w:val="007D3CE2"/>
    <w:rsid w:val="007D441C"/>
    <w:rsid w:val="007D490F"/>
    <w:rsid w:val="007D4D3E"/>
    <w:rsid w:val="007D54E5"/>
    <w:rsid w:val="007D5741"/>
    <w:rsid w:val="007D61AC"/>
    <w:rsid w:val="007D6554"/>
    <w:rsid w:val="007D6929"/>
    <w:rsid w:val="007D6BCC"/>
    <w:rsid w:val="007D6C81"/>
    <w:rsid w:val="007D6E3F"/>
    <w:rsid w:val="007D6FBC"/>
    <w:rsid w:val="007D7E2B"/>
    <w:rsid w:val="007D7F6E"/>
    <w:rsid w:val="007D7FCF"/>
    <w:rsid w:val="007E0003"/>
    <w:rsid w:val="007E0F66"/>
    <w:rsid w:val="007E1425"/>
    <w:rsid w:val="007E1A0D"/>
    <w:rsid w:val="007E1C9B"/>
    <w:rsid w:val="007E1E1C"/>
    <w:rsid w:val="007E2130"/>
    <w:rsid w:val="007E2310"/>
    <w:rsid w:val="007E2D12"/>
    <w:rsid w:val="007E2E05"/>
    <w:rsid w:val="007E2F16"/>
    <w:rsid w:val="007E32F5"/>
    <w:rsid w:val="007E35F4"/>
    <w:rsid w:val="007E36A0"/>
    <w:rsid w:val="007E3B0F"/>
    <w:rsid w:val="007E40CB"/>
    <w:rsid w:val="007E45E0"/>
    <w:rsid w:val="007E45EE"/>
    <w:rsid w:val="007E478C"/>
    <w:rsid w:val="007E4E69"/>
    <w:rsid w:val="007E4F7F"/>
    <w:rsid w:val="007E5265"/>
    <w:rsid w:val="007E589D"/>
    <w:rsid w:val="007E58E3"/>
    <w:rsid w:val="007E5EB5"/>
    <w:rsid w:val="007E5FB7"/>
    <w:rsid w:val="007E6354"/>
    <w:rsid w:val="007E6C60"/>
    <w:rsid w:val="007E6F82"/>
    <w:rsid w:val="007E6FCA"/>
    <w:rsid w:val="007E755F"/>
    <w:rsid w:val="007E7DF4"/>
    <w:rsid w:val="007E7FC6"/>
    <w:rsid w:val="007F07A3"/>
    <w:rsid w:val="007F150F"/>
    <w:rsid w:val="007F1880"/>
    <w:rsid w:val="007F1B80"/>
    <w:rsid w:val="007F1FAA"/>
    <w:rsid w:val="007F2097"/>
    <w:rsid w:val="007F2437"/>
    <w:rsid w:val="007F286D"/>
    <w:rsid w:val="007F2875"/>
    <w:rsid w:val="007F2BE3"/>
    <w:rsid w:val="007F2C5A"/>
    <w:rsid w:val="007F3821"/>
    <w:rsid w:val="007F3D9F"/>
    <w:rsid w:val="007F3EBD"/>
    <w:rsid w:val="007F408D"/>
    <w:rsid w:val="007F4506"/>
    <w:rsid w:val="007F493D"/>
    <w:rsid w:val="007F4BA8"/>
    <w:rsid w:val="007F4F35"/>
    <w:rsid w:val="007F5683"/>
    <w:rsid w:val="007F57BF"/>
    <w:rsid w:val="007F5AD6"/>
    <w:rsid w:val="007F5B51"/>
    <w:rsid w:val="007F5DB8"/>
    <w:rsid w:val="007F6076"/>
    <w:rsid w:val="007F6392"/>
    <w:rsid w:val="007F6402"/>
    <w:rsid w:val="007F6756"/>
    <w:rsid w:val="007F75C7"/>
    <w:rsid w:val="007F7621"/>
    <w:rsid w:val="007F7752"/>
    <w:rsid w:val="007F78A7"/>
    <w:rsid w:val="00800325"/>
    <w:rsid w:val="00800384"/>
    <w:rsid w:val="0080047C"/>
    <w:rsid w:val="00800562"/>
    <w:rsid w:val="0080084C"/>
    <w:rsid w:val="00801546"/>
    <w:rsid w:val="0080155F"/>
    <w:rsid w:val="00801855"/>
    <w:rsid w:val="00801ABF"/>
    <w:rsid w:val="00801B79"/>
    <w:rsid w:val="00801BC2"/>
    <w:rsid w:val="00801C19"/>
    <w:rsid w:val="008021E1"/>
    <w:rsid w:val="0080262A"/>
    <w:rsid w:val="0080280D"/>
    <w:rsid w:val="0080287F"/>
    <w:rsid w:val="00802FB8"/>
    <w:rsid w:val="00802FC9"/>
    <w:rsid w:val="0080323D"/>
    <w:rsid w:val="0080399B"/>
    <w:rsid w:val="00803B9B"/>
    <w:rsid w:val="00803E23"/>
    <w:rsid w:val="0080409A"/>
    <w:rsid w:val="008043C6"/>
    <w:rsid w:val="00804784"/>
    <w:rsid w:val="0080479A"/>
    <w:rsid w:val="0080484B"/>
    <w:rsid w:val="0080491E"/>
    <w:rsid w:val="00804B99"/>
    <w:rsid w:val="00804ED8"/>
    <w:rsid w:val="00804EEE"/>
    <w:rsid w:val="0080595A"/>
    <w:rsid w:val="00805AF6"/>
    <w:rsid w:val="00805CBD"/>
    <w:rsid w:val="008061EE"/>
    <w:rsid w:val="008062A5"/>
    <w:rsid w:val="00807226"/>
    <w:rsid w:val="008075C6"/>
    <w:rsid w:val="00807AE0"/>
    <w:rsid w:val="00807D14"/>
    <w:rsid w:val="008104A9"/>
    <w:rsid w:val="00810753"/>
    <w:rsid w:val="00810845"/>
    <w:rsid w:val="00810886"/>
    <w:rsid w:val="00810DA3"/>
    <w:rsid w:val="00811083"/>
    <w:rsid w:val="008112C6"/>
    <w:rsid w:val="00812F25"/>
    <w:rsid w:val="0081349C"/>
    <w:rsid w:val="00813886"/>
    <w:rsid w:val="00813F65"/>
    <w:rsid w:val="00814439"/>
    <w:rsid w:val="00814755"/>
    <w:rsid w:val="008149C0"/>
    <w:rsid w:val="00814A2F"/>
    <w:rsid w:val="008151D3"/>
    <w:rsid w:val="0081548C"/>
    <w:rsid w:val="00815925"/>
    <w:rsid w:val="00816086"/>
    <w:rsid w:val="008164E1"/>
    <w:rsid w:val="00816876"/>
    <w:rsid w:val="00816CCE"/>
    <w:rsid w:val="008171BF"/>
    <w:rsid w:val="00817422"/>
    <w:rsid w:val="00817461"/>
    <w:rsid w:val="0082067A"/>
    <w:rsid w:val="00820A3C"/>
    <w:rsid w:val="00821AD4"/>
    <w:rsid w:val="008220FF"/>
    <w:rsid w:val="008222C6"/>
    <w:rsid w:val="008223EE"/>
    <w:rsid w:val="00822496"/>
    <w:rsid w:val="008226FB"/>
    <w:rsid w:val="00822EB0"/>
    <w:rsid w:val="008233F6"/>
    <w:rsid w:val="00823618"/>
    <w:rsid w:val="008236F1"/>
    <w:rsid w:val="008238AC"/>
    <w:rsid w:val="0082397B"/>
    <w:rsid w:val="00823A6D"/>
    <w:rsid w:val="00823E5F"/>
    <w:rsid w:val="00824223"/>
    <w:rsid w:val="00824274"/>
    <w:rsid w:val="008252AF"/>
    <w:rsid w:val="00825AAE"/>
    <w:rsid w:val="00826732"/>
    <w:rsid w:val="00826A19"/>
    <w:rsid w:val="00826B8B"/>
    <w:rsid w:val="00826E27"/>
    <w:rsid w:val="008272ED"/>
    <w:rsid w:val="00827579"/>
    <w:rsid w:val="00827B31"/>
    <w:rsid w:val="00830A6B"/>
    <w:rsid w:val="00830B65"/>
    <w:rsid w:val="00831064"/>
    <w:rsid w:val="008313F9"/>
    <w:rsid w:val="00831DD5"/>
    <w:rsid w:val="00831E54"/>
    <w:rsid w:val="00831F8D"/>
    <w:rsid w:val="00832268"/>
    <w:rsid w:val="00832345"/>
    <w:rsid w:val="00832382"/>
    <w:rsid w:val="0083257D"/>
    <w:rsid w:val="00832D54"/>
    <w:rsid w:val="00833490"/>
    <w:rsid w:val="0083358E"/>
    <w:rsid w:val="0083363F"/>
    <w:rsid w:val="00833662"/>
    <w:rsid w:val="0083398B"/>
    <w:rsid w:val="008339F0"/>
    <w:rsid w:val="00833B64"/>
    <w:rsid w:val="00833B86"/>
    <w:rsid w:val="0083408F"/>
    <w:rsid w:val="008341B0"/>
    <w:rsid w:val="008344F2"/>
    <w:rsid w:val="008348D8"/>
    <w:rsid w:val="00834B50"/>
    <w:rsid w:val="00835708"/>
    <w:rsid w:val="0083604B"/>
    <w:rsid w:val="008360A2"/>
    <w:rsid w:val="00836459"/>
    <w:rsid w:val="00836600"/>
    <w:rsid w:val="00836AED"/>
    <w:rsid w:val="00836E65"/>
    <w:rsid w:val="00837352"/>
    <w:rsid w:val="00837915"/>
    <w:rsid w:val="00837DC8"/>
    <w:rsid w:val="00837FA4"/>
    <w:rsid w:val="00840109"/>
    <w:rsid w:val="00840254"/>
    <w:rsid w:val="008408A4"/>
    <w:rsid w:val="008408E9"/>
    <w:rsid w:val="00840D31"/>
    <w:rsid w:val="00841000"/>
    <w:rsid w:val="00841004"/>
    <w:rsid w:val="008410DE"/>
    <w:rsid w:val="008412D3"/>
    <w:rsid w:val="008419AE"/>
    <w:rsid w:val="00841A6C"/>
    <w:rsid w:val="00841BA2"/>
    <w:rsid w:val="0084215E"/>
    <w:rsid w:val="00842630"/>
    <w:rsid w:val="00842824"/>
    <w:rsid w:val="008428DB"/>
    <w:rsid w:val="00842CA4"/>
    <w:rsid w:val="008432B8"/>
    <w:rsid w:val="00843860"/>
    <w:rsid w:val="0084389C"/>
    <w:rsid w:val="00843EE1"/>
    <w:rsid w:val="0084400A"/>
    <w:rsid w:val="00844640"/>
    <w:rsid w:val="00844770"/>
    <w:rsid w:val="00844B61"/>
    <w:rsid w:val="00844F36"/>
    <w:rsid w:val="008453FA"/>
    <w:rsid w:val="00845BB1"/>
    <w:rsid w:val="0084615E"/>
    <w:rsid w:val="008466B1"/>
    <w:rsid w:val="00846AD0"/>
    <w:rsid w:val="00846FBE"/>
    <w:rsid w:val="008478F2"/>
    <w:rsid w:val="00850118"/>
    <w:rsid w:val="00850149"/>
    <w:rsid w:val="00851005"/>
    <w:rsid w:val="00851F62"/>
    <w:rsid w:val="0085215B"/>
    <w:rsid w:val="0085249D"/>
    <w:rsid w:val="00852E96"/>
    <w:rsid w:val="00852F75"/>
    <w:rsid w:val="00852F7E"/>
    <w:rsid w:val="00853056"/>
    <w:rsid w:val="008534B6"/>
    <w:rsid w:val="00853896"/>
    <w:rsid w:val="008539A2"/>
    <w:rsid w:val="00853B69"/>
    <w:rsid w:val="00853FE5"/>
    <w:rsid w:val="00854A3B"/>
    <w:rsid w:val="00854A5C"/>
    <w:rsid w:val="00854E51"/>
    <w:rsid w:val="00855720"/>
    <w:rsid w:val="00855C08"/>
    <w:rsid w:val="00855C2A"/>
    <w:rsid w:val="00855D96"/>
    <w:rsid w:val="00855DB4"/>
    <w:rsid w:val="008562B6"/>
    <w:rsid w:val="00856755"/>
    <w:rsid w:val="0085688C"/>
    <w:rsid w:val="00856FFA"/>
    <w:rsid w:val="00857660"/>
    <w:rsid w:val="008577A9"/>
    <w:rsid w:val="00857A1E"/>
    <w:rsid w:val="00857CF4"/>
    <w:rsid w:val="00857FA0"/>
    <w:rsid w:val="008605CD"/>
    <w:rsid w:val="008607C4"/>
    <w:rsid w:val="008617E2"/>
    <w:rsid w:val="00861E73"/>
    <w:rsid w:val="008625D9"/>
    <w:rsid w:val="008626DC"/>
    <w:rsid w:val="00862CD6"/>
    <w:rsid w:val="00862EAB"/>
    <w:rsid w:val="00862F97"/>
    <w:rsid w:val="0086318E"/>
    <w:rsid w:val="00863190"/>
    <w:rsid w:val="008635DA"/>
    <w:rsid w:val="008639E0"/>
    <w:rsid w:val="00864B7D"/>
    <w:rsid w:val="00864DC4"/>
    <w:rsid w:val="00865DA9"/>
    <w:rsid w:val="0086611E"/>
    <w:rsid w:val="00866328"/>
    <w:rsid w:val="0086654C"/>
    <w:rsid w:val="0086687D"/>
    <w:rsid w:val="00866B27"/>
    <w:rsid w:val="008670EF"/>
    <w:rsid w:val="0086747F"/>
    <w:rsid w:val="00867D15"/>
    <w:rsid w:val="00867DAC"/>
    <w:rsid w:val="00867EAA"/>
    <w:rsid w:val="0087001A"/>
    <w:rsid w:val="0087039A"/>
    <w:rsid w:val="008705F0"/>
    <w:rsid w:val="00871CFA"/>
    <w:rsid w:val="00871F00"/>
    <w:rsid w:val="00872479"/>
    <w:rsid w:val="008724DE"/>
    <w:rsid w:val="0087257E"/>
    <w:rsid w:val="00872B7B"/>
    <w:rsid w:val="00872FCE"/>
    <w:rsid w:val="00873617"/>
    <w:rsid w:val="00873C6E"/>
    <w:rsid w:val="00874431"/>
    <w:rsid w:val="00874742"/>
    <w:rsid w:val="00874767"/>
    <w:rsid w:val="008748F5"/>
    <w:rsid w:val="00874B02"/>
    <w:rsid w:val="00875180"/>
    <w:rsid w:val="00875196"/>
    <w:rsid w:val="008757E3"/>
    <w:rsid w:val="008759AB"/>
    <w:rsid w:val="0087665D"/>
    <w:rsid w:val="008767CD"/>
    <w:rsid w:val="008768EE"/>
    <w:rsid w:val="00876A3E"/>
    <w:rsid w:val="00876EC9"/>
    <w:rsid w:val="008776DB"/>
    <w:rsid w:val="0087787C"/>
    <w:rsid w:val="008779A1"/>
    <w:rsid w:val="008779BB"/>
    <w:rsid w:val="00880072"/>
    <w:rsid w:val="00880173"/>
    <w:rsid w:val="00880352"/>
    <w:rsid w:val="008804EA"/>
    <w:rsid w:val="00880992"/>
    <w:rsid w:val="00880A3F"/>
    <w:rsid w:val="00880B31"/>
    <w:rsid w:val="00880CD3"/>
    <w:rsid w:val="0088128A"/>
    <w:rsid w:val="00881840"/>
    <w:rsid w:val="008819C7"/>
    <w:rsid w:val="00881BE0"/>
    <w:rsid w:val="00881BEA"/>
    <w:rsid w:val="00881E39"/>
    <w:rsid w:val="00881FDF"/>
    <w:rsid w:val="008820E0"/>
    <w:rsid w:val="00882227"/>
    <w:rsid w:val="0088266A"/>
    <w:rsid w:val="00882754"/>
    <w:rsid w:val="0088570C"/>
    <w:rsid w:val="00885C88"/>
    <w:rsid w:val="00886261"/>
    <w:rsid w:val="00886306"/>
    <w:rsid w:val="008868F3"/>
    <w:rsid w:val="00886EF4"/>
    <w:rsid w:val="00887517"/>
    <w:rsid w:val="0088768E"/>
    <w:rsid w:val="00890155"/>
    <w:rsid w:val="008901DB"/>
    <w:rsid w:val="00890415"/>
    <w:rsid w:val="00890539"/>
    <w:rsid w:val="008905A4"/>
    <w:rsid w:val="00890963"/>
    <w:rsid w:val="00890F08"/>
    <w:rsid w:val="008910BF"/>
    <w:rsid w:val="00891798"/>
    <w:rsid w:val="00891B95"/>
    <w:rsid w:val="00891CA7"/>
    <w:rsid w:val="0089224C"/>
    <w:rsid w:val="008927AC"/>
    <w:rsid w:val="00892A7A"/>
    <w:rsid w:val="00892D8B"/>
    <w:rsid w:val="0089316A"/>
    <w:rsid w:val="00893716"/>
    <w:rsid w:val="00894012"/>
    <w:rsid w:val="008948A8"/>
    <w:rsid w:val="00894963"/>
    <w:rsid w:val="0089497E"/>
    <w:rsid w:val="00894A65"/>
    <w:rsid w:val="00895039"/>
    <w:rsid w:val="008952BB"/>
    <w:rsid w:val="00895919"/>
    <w:rsid w:val="00895999"/>
    <w:rsid w:val="008959DF"/>
    <w:rsid w:val="00895ABB"/>
    <w:rsid w:val="00895C0E"/>
    <w:rsid w:val="008960F1"/>
    <w:rsid w:val="008963EB"/>
    <w:rsid w:val="00896878"/>
    <w:rsid w:val="00896D5C"/>
    <w:rsid w:val="00896E4F"/>
    <w:rsid w:val="008970BA"/>
    <w:rsid w:val="00897325"/>
    <w:rsid w:val="00897B67"/>
    <w:rsid w:val="008A0014"/>
    <w:rsid w:val="008A0518"/>
    <w:rsid w:val="008A07F3"/>
    <w:rsid w:val="008A1596"/>
    <w:rsid w:val="008A1A1A"/>
    <w:rsid w:val="008A1CB3"/>
    <w:rsid w:val="008A20CB"/>
    <w:rsid w:val="008A23A8"/>
    <w:rsid w:val="008A25DD"/>
    <w:rsid w:val="008A260B"/>
    <w:rsid w:val="008A261E"/>
    <w:rsid w:val="008A2856"/>
    <w:rsid w:val="008A28CA"/>
    <w:rsid w:val="008A2921"/>
    <w:rsid w:val="008A29DC"/>
    <w:rsid w:val="008A2B9A"/>
    <w:rsid w:val="008A2F4F"/>
    <w:rsid w:val="008A2F8E"/>
    <w:rsid w:val="008A3257"/>
    <w:rsid w:val="008A3368"/>
    <w:rsid w:val="008A336A"/>
    <w:rsid w:val="008A341C"/>
    <w:rsid w:val="008A360D"/>
    <w:rsid w:val="008A373D"/>
    <w:rsid w:val="008A384A"/>
    <w:rsid w:val="008A38D0"/>
    <w:rsid w:val="008A4285"/>
    <w:rsid w:val="008A468D"/>
    <w:rsid w:val="008A4D39"/>
    <w:rsid w:val="008A4D74"/>
    <w:rsid w:val="008A4D85"/>
    <w:rsid w:val="008A513A"/>
    <w:rsid w:val="008A5C6C"/>
    <w:rsid w:val="008A5D8B"/>
    <w:rsid w:val="008A7010"/>
    <w:rsid w:val="008A70F7"/>
    <w:rsid w:val="008A7203"/>
    <w:rsid w:val="008A7496"/>
    <w:rsid w:val="008A79A9"/>
    <w:rsid w:val="008A7CC4"/>
    <w:rsid w:val="008B0221"/>
    <w:rsid w:val="008B07A8"/>
    <w:rsid w:val="008B1065"/>
    <w:rsid w:val="008B13B6"/>
    <w:rsid w:val="008B1FB9"/>
    <w:rsid w:val="008B20F9"/>
    <w:rsid w:val="008B2342"/>
    <w:rsid w:val="008B273D"/>
    <w:rsid w:val="008B3F3D"/>
    <w:rsid w:val="008B4090"/>
    <w:rsid w:val="008B4253"/>
    <w:rsid w:val="008B47E7"/>
    <w:rsid w:val="008B4812"/>
    <w:rsid w:val="008B4924"/>
    <w:rsid w:val="008B497A"/>
    <w:rsid w:val="008B49E7"/>
    <w:rsid w:val="008B4BB0"/>
    <w:rsid w:val="008B4C65"/>
    <w:rsid w:val="008B52E3"/>
    <w:rsid w:val="008B5328"/>
    <w:rsid w:val="008B5982"/>
    <w:rsid w:val="008B603B"/>
    <w:rsid w:val="008B712E"/>
    <w:rsid w:val="008B7564"/>
    <w:rsid w:val="008B7AEE"/>
    <w:rsid w:val="008B7D91"/>
    <w:rsid w:val="008B7F48"/>
    <w:rsid w:val="008C00E6"/>
    <w:rsid w:val="008C0424"/>
    <w:rsid w:val="008C0663"/>
    <w:rsid w:val="008C072B"/>
    <w:rsid w:val="008C0C70"/>
    <w:rsid w:val="008C0F66"/>
    <w:rsid w:val="008C132C"/>
    <w:rsid w:val="008C16DB"/>
    <w:rsid w:val="008C193C"/>
    <w:rsid w:val="008C249D"/>
    <w:rsid w:val="008C24BD"/>
    <w:rsid w:val="008C2B0B"/>
    <w:rsid w:val="008C2DEA"/>
    <w:rsid w:val="008C2E1E"/>
    <w:rsid w:val="008C31DC"/>
    <w:rsid w:val="008C3247"/>
    <w:rsid w:val="008C40A6"/>
    <w:rsid w:val="008C451B"/>
    <w:rsid w:val="008C4559"/>
    <w:rsid w:val="008C457D"/>
    <w:rsid w:val="008C46A6"/>
    <w:rsid w:val="008C4708"/>
    <w:rsid w:val="008C5134"/>
    <w:rsid w:val="008C556B"/>
    <w:rsid w:val="008C55DB"/>
    <w:rsid w:val="008C5798"/>
    <w:rsid w:val="008C5D54"/>
    <w:rsid w:val="008C68A0"/>
    <w:rsid w:val="008C68B0"/>
    <w:rsid w:val="008C6B64"/>
    <w:rsid w:val="008C6BD1"/>
    <w:rsid w:val="008C71FD"/>
    <w:rsid w:val="008C73D4"/>
    <w:rsid w:val="008C7C2D"/>
    <w:rsid w:val="008D0352"/>
    <w:rsid w:val="008D0C2C"/>
    <w:rsid w:val="008D0F85"/>
    <w:rsid w:val="008D1182"/>
    <w:rsid w:val="008D1B39"/>
    <w:rsid w:val="008D1BCF"/>
    <w:rsid w:val="008D3065"/>
    <w:rsid w:val="008D3900"/>
    <w:rsid w:val="008D3C18"/>
    <w:rsid w:val="008D3EC4"/>
    <w:rsid w:val="008D463C"/>
    <w:rsid w:val="008D4ADD"/>
    <w:rsid w:val="008D5053"/>
    <w:rsid w:val="008D5518"/>
    <w:rsid w:val="008D565F"/>
    <w:rsid w:val="008D585C"/>
    <w:rsid w:val="008D5EBA"/>
    <w:rsid w:val="008D6304"/>
    <w:rsid w:val="008D63B6"/>
    <w:rsid w:val="008D6534"/>
    <w:rsid w:val="008D671E"/>
    <w:rsid w:val="008D690E"/>
    <w:rsid w:val="008D6CD7"/>
    <w:rsid w:val="008D725F"/>
    <w:rsid w:val="008D7796"/>
    <w:rsid w:val="008D7921"/>
    <w:rsid w:val="008D7B89"/>
    <w:rsid w:val="008D7CBE"/>
    <w:rsid w:val="008D7E69"/>
    <w:rsid w:val="008D7FD1"/>
    <w:rsid w:val="008E01FF"/>
    <w:rsid w:val="008E022B"/>
    <w:rsid w:val="008E0D52"/>
    <w:rsid w:val="008E0EA7"/>
    <w:rsid w:val="008E1E9A"/>
    <w:rsid w:val="008E2DE6"/>
    <w:rsid w:val="008E2F70"/>
    <w:rsid w:val="008E31E6"/>
    <w:rsid w:val="008E353F"/>
    <w:rsid w:val="008E379C"/>
    <w:rsid w:val="008E3833"/>
    <w:rsid w:val="008E3CB2"/>
    <w:rsid w:val="008E42C4"/>
    <w:rsid w:val="008E4306"/>
    <w:rsid w:val="008E460A"/>
    <w:rsid w:val="008E46E3"/>
    <w:rsid w:val="008E4E2E"/>
    <w:rsid w:val="008E4FE2"/>
    <w:rsid w:val="008E5351"/>
    <w:rsid w:val="008E55DB"/>
    <w:rsid w:val="008E5C04"/>
    <w:rsid w:val="008E5CA5"/>
    <w:rsid w:val="008E603E"/>
    <w:rsid w:val="008E6BBA"/>
    <w:rsid w:val="008E6BCC"/>
    <w:rsid w:val="008E6CCE"/>
    <w:rsid w:val="008E6E6C"/>
    <w:rsid w:val="008E7547"/>
    <w:rsid w:val="008F0071"/>
    <w:rsid w:val="008F00C6"/>
    <w:rsid w:val="008F01BE"/>
    <w:rsid w:val="008F0206"/>
    <w:rsid w:val="008F09B6"/>
    <w:rsid w:val="008F10A9"/>
    <w:rsid w:val="008F17A5"/>
    <w:rsid w:val="008F1CF8"/>
    <w:rsid w:val="008F22DE"/>
    <w:rsid w:val="008F23BE"/>
    <w:rsid w:val="008F2AAA"/>
    <w:rsid w:val="008F2C9B"/>
    <w:rsid w:val="008F2D12"/>
    <w:rsid w:val="008F2EBA"/>
    <w:rsid w:val="008F36AB"/>
    <w:rsid w:val="008F3E8E"/>
    <w:rsid w:val="008F3F4E"/>
    <w:rsid w:val="008F49D5"/>
    <w:rsid w:val="008F4DD8"/>
    <w:rsid w:val="008F5233"/>
    <w:rsid w:val="008F5B77"/>
    <w:rsid w:val="008F5D35"/>
    <w:rsid w:val="008F6107"/>
    <w:rsid w:val="008F62A4"/>
    <w:rsid w:val="008F65E3"/>
    <w:rsid w:val="008F6D95"/>
    <w:rsid w:val="008F7362"/>
    <w:rsid w:val="008F7B9B"/>
    <w:rsid w:val="008F7CFA"/>
    <w:rsid w:val="00900554"/>
    <w:rsid w:val="00900CC6"/>
    <w:rsid w:val="00901130"/>
    <w:rsid w:val="00901774"/>
    <w:rsid w:val="00901931"/>
    <w:rsid w:val="00901A09"/>
    <w:rsid w:val="00901A57"/>
    <w:rsid w:val="00901A5F"/>
    <w:rsid w:val="00901C5A"/>
    <w:rsid w:val="00902367"/>
    <w:rsid w:val="00902BC8"/>
    <w:rsid w:val="00902D24"/>
    <w:rsid w:val="00902E5B"/>
    <w:rsid w:val="009031B0"/>
    <w:rsid w:val="009035D1"/>
    <w:rsid w:val="00903768"/>
    <w:rsid w:val="00903983"/>
    <w:rsid w:val="00903A60"/>
    <w:rsid w:val="00904377"/>
    <w:rsid w:val="00904566"/>
    <w:rsid w:val="009046D0"/>
    <w:rsid w:val="00904D70"/>
    <w:rsid w:val="00905238"/>
    <w:rsid w:val="00905441"/>
    <w:rsid w:val="00905B36"/>
    <w:rsid w:val="00905C46"/>
    <w:rsid w:val="00905F69"/>
    <w:rsid w:val="009061D9"/>
    <w:rsid w:val="00906374"/>
    <w:rsid w:val="00906459"/>
    <w:rsid w:val="00906D3F"/>
    <w:rsid w:val="0090704C"/>
    <w:rsid w:val="00907597"/>
    <w:rsid w:val="00907A2B"/>
    <w:rsid w:val="00907C28"/>
    <w:rsid w:val="00907D27"/>
    <w:rsid w:val="009100CE"/>
    <w:rsid w:val="00910378"/>
    <w:rsid w:val="00910607"/>
    <w:rsid w:val="00910998"/>
    <w:rsid w:val="00910B64"/>
    <w:rsid w:val="00910ED6"/>
    <w:rsid w:val="0091170B"/>
    <w:rsid w:val="00911A11"/>
    <w:rsid w:val="00911A96"/>
    <w:rsid w:val="00911D53"/>
    <w:rsid w:val="00911E18"/>
    <w:rsid w:val="00912C36"/>
    <w:rsid w:val="00913976"/>
    <w:rsid w:val="00913DE7"/>
    <w:rsid w:val="00913E82"/>
    <w:rsid w:val="00914119"/>
    <w:rsid w:val="00914519"/>
    <w:rsid w:val="009147DC"/>
    <w:rsid w:val="00914BA5"/>
    <w:rsid w:val="009151D9"/>
    <w:rsid w:val="00915572"/>
    <w:rsid w:val="009162B4"/>
    <w:rsid w:val="0091653A"/>
    <w:rsid w:val="00916853"/>
    <w:rsid w:val="00916DB7"/>
    <w:rsid w:val="0091701E"/>
    <w:rsid w:val="00917170"/>
    <w:rsid w:val="0091731E"/>
    <w:rsid w:val="009176DD"/>
    <w:rsid w:val="00917703"/>
    <w:rsid w:val="0091788F"/>
    <w:rsid w:val="00917F37"/>
    <w:rsid w:val="0092011C"/>
    <w:rsid w:val="0092013A"/>
    <w:rsid w:val="009205F6"/>
    <w:rsid w:val="00920D80"/>
    <w:rsid w:val="009212E7"/>
    <w:rsid w:val="00921375"/>
    <w:rsid w:val="00921596"/>
    <w:rsid w:val="00921746"/>
    <w:rsid w:val="0092179E"/>
    <w:rsid w:val="00921ACC"/>
    <w:rsid w:val="00921BB6"/>
    <w:rsid w:val="009220B9"/>
    <w:rsid w:val="0092217A"/>
    <w:rsid w:val="00922733"/>
    <w:rsid w:val="0092282C"/>
    <w:rsid w:val="00922B28"/>
    <w:rsid w:val="00922F68"/>
    <w:rsid w:val="00923164"/>
    <w:rsid w:val="00923172"/>
    <w:rsid w:val="0092334C"/>
    <w:rsid w:val="00923860"/>
    <w:rsid w:val="00923C4E"/>
    <w:rsid w:val="00924B78"/>
    <w:rsid w:val="00925171"/>
    <w:rsid w:val="0092547C"/>
    <w:rsid w:val="00925667"/>
    <w:rsid w:val="0092597F"/>
    <w:rsid w:val="00926C9B"/>
    <w:rsid w:val="00926D96"/>
    <w:rsid w:val="00926F84"/>
    <w:rsid w:val="009272E8"/>
    <w:rsid w:val="00927611"/>
    <w:rsid w:val="00927648"/>
    <w:rsid w:val="0092791A"/>
    <w:rsid w:val="0092799B"/>
    <w:rsid w:val="00927F14"/>
    <w:rsid w:val="00927FAF"/>
    <w:rsid w:val="00927FD9"/>
    <w:rsid w:val="00930DEF"/>
    <w:rsid w:val="00930F21"/>
    <w:rsid w:val="0093160A"/>
    <w:rsid w:val="009323C6"/>
    <w:rsid w:val="009325B7"/>
    <w:rsid w:val="00932E3F"/>
    <w:rsid w:val="00932E93"/>
    <w:rsid w:val="009331AF"/>
    <w:rsid w:val="009337BC"/>
    <w:rsid w:val="00933A9D"/>
    <w:rsid w:val="00933D11"/>
    <w:rsid w:val="00933F71"/>
    <w:rsid w:val="009349A4"/>
    <w:rsid w:val="00934A0E"/>
    <w:rsid w:val="00934A9F"/>
    <w:rsid w:val="00934F89"/>
    <w:rsid w:val="00934FD7"/>
    <w:rsid w:val="009351F7"/>
    <w:rsid w:val="0093543D"/>
    <w:rsid w:val="00935EFB"/>
    <w:rsid w:val="009360FD"/>
    <w:rsid w:val="00936A22"/>
    <w:rsid w:val="0094056B"/>
    <w:rsid w:val="00940E9F"/>
    <w:rsid w:val="009411DA"/>
    <w:rsid w:val="00941568"/>
    <w:rsid w:val="00941CCB"/>
    <w:rsid w:val="00941D1D"/>
    <w:rsid w:val="00942E90"/>
    <w:rsid w:val="009435D1"/>
    <w:rsid w:val="00943A16"/>
    <w:rsid w:val="00943DED"/>
    <w:rsid w:val="00943DF7"/>
    <w:rsid w:val="00943F42"/>
    <w:rsid w:val="009442DA"/>
    <w:rsid w:val="00944404"/>
    <w:rsid w:val="0094454E"/>
    <w:rsid w:val="00944F5B"/>
    <w:rsid w:val="009454B7"/>
    <w:rsid w:val="00945850"/>
    <w:rsid w:val="0094585D"/>
    <w:rsid w:val="009458F3"/>
    <w:rsid w:val="009459BC"/>
    <w:rsid w:val="00945BCF"/>
    <w:rsid w:val="00945D17"/>
    <w:rsid w:val="00945DF9"/>
    <w:rsid w:val="00945E84"/>
    <w:rsid w:val="0094605D"/>
    <w:rsid w:val="00947F53"/>
    <w:rsid w:val="009500BC"/>
    <w:rsid w:val="0095017F"/>
    <w:rsid w:val="009504E0"/>
    <w:rsid w:val="00950871"/>
    <w:rsid w:val="00950C5C"/>
    <w:rsid w:val="00950CEC"/>
    <w:rsid w:val="00950EB9"/>
    <w:rsid w:val="00951079"/>
    <w:rsid w:val="009511B6"/>
    <w:rsid w:val="009512A4"/>
    <w:rsid w:val="00951DAC"/>
    <w:rsid w:val="00951EAF"/>
    <w:rsid w:val="00951FE5"/>
    <w:rsid w:val="009522B9"/>
    <w:rsid w:val="00952A8C"/>
    <w:rsid w:val="00952E12"/>
    <w:rsid w:val="0095342B"/>
    <w:rsid w:val="00953472"/>
    <w:rsid w:val="00953AEC"/>
    <w:rsid w:val="00953DE5"/>
    <w:rsid w:val="00953DED"/>
    <w:rsid w:val="009542E6"/>
    <w:rsid w:val="00954DB3"/>
    <w:rsid w:val="009550FA"/>
    <w:rsid w:val="0095545E"/>
    <w:rsid w:val="009556CC"/>
    <w:rsid w:val="00955994"/>
    <w:rsid w:val="00955BE5"/>
    <w:rsid w:val="009563C2"/>
    <w:rsid w:val="00956911"/>
    <w:rsid w:val="00956D5B"/>
    <w:rsid w:val="00956F84"/>
    <w:rsid w:val="00956FB8"/>
    <w:rsid w:val="00957181"/>
    <w:rsid w:val="009574AC"/>
    <w:rsid w:val="00957FBF"/>
    <w:rsid w:val="00957FE5"/>
    <w:rsid w:val="00960118"/>
    <w:rsid w:val="00960E7B"/>
    <w:rsid w:val="00961629"/>
    <w:rsid w:val="00962433"/>
    <w:rsid w:val="00962AE9"/>
    <w:rsid w:val="00962B12"/>
    <w:rsid w:val="00962FED"/>
    <w:rsid w:val="0096365E"/>
    <w:rsid w:val="009639B8"/>
    <w:rsid w:val="00963BAB"/>
    <w:rsid w:val="0096468A"/>
    <w:rsid w:val="009648B2"/>
    <w:rsid w:val="00964D49"/>
    <w:rsid w:val="00964D5A"/>
    <w:rsid w:val="00964F78"/>
    <w:rsid w:val="009657D4"/>
    <w:rsid w:val="00965971"/>
    <w:rsid w:val="00965C72"/>
    <w:rsid w:val="00966115"/>
    <w:rsid w:val="00966448"/>
    <w:rsid w:val="00966EE0"/>
    <w:rsid w:val="00967248"/>
    <w:rsid w:val="009672CF"/>
    <w:rsid w:val="0096739E"/>
    <w:rsid w:val="009676BF"/>
    <w:rsid w:val="009676E3"/>
    <w:rsid w:val="009677D5"/>
    <w:rsid w:val="00967E01"/>
    <w:rsid w:val="009703DA"/>
    <w:rsid w:val="0097051C"/>
    <w:rsid w:val="0097086F"/>
    <w:rsid w:val="009709DE"/>
    <w:rsid w:val="00970BFC"/>
    <w:rsid w:val="00970C83"/>
    <w:rsid w:val="00970CA6"/>
    <w:rsid w:val="00970E95"/>
    <w:rsid w:val="00971103"/>
    <w:rsid w:val="00971EAA"/>
    <w:rsid w:val="00971FED"/>
    <w:rsid w:val="00972220"/>
    <w:rsid w:val="009723C8"/>
    <w:rsid w:val="00972BE7"/>
    <w:rsid w:val="00972E50"/>
    <w:rsid w:val="00972F68"/>
    <w:rsid w:val="00973AF5"/>
    <w:rsid w:val="00973C67"/>
    <w:rsid w:val="0097435F"/>
    <w:rsid w:val="009745C3"/>
    <w:rsid w:val="0097496F"/>
    <w:rsid w:val="00974AC3"/>
    <w:rsid w:val="00975277"/>
    <w:rsid w:val="00975727"/>
    <w:rsid w:val="009758D9"/>
    <w:rsid w:val="00975BC0"/>
    <w:rsid w:val="00975EE7"/>
    <w:rsid w:val="00976765"/>
    <w:rsid w:val="00976B4A"/>
    <w:rsid w:val="00976CEB"/>
    <w:rsid w:val="0097700E"/>
    <w:rsid w:val="009771EE"/>
    <w:rsid w:val="0097773D"/>
    <w:rsid w:val="00977853"/>
    <w:rsid w:val="00977908"/>
    <w:rsid w:val="00977C2F"/>
    <w:rsid w:val="00977DCC"/>
    <w:rsid w:val="00980747"/>
    <w:rsid w:val="00980A8E"/>
    <w:rsid w:val="009811FC"/>
    <w:rsid w:val="0098169B"/>
    <w:rsid w:val="00981B3B"/>
    <w:rsid w:val="00981EB1"/>
    <w:rsid w:val="0098279C"/>
    <w:rsid w:val="00982DD4"/>
    <w:rsid w:val="009833F9"/>
    <w:rsid w:val="00983411"/>
    <w:rsid w:val="009835DF"/>
    <w:rsid w:val="0098374F"/>
    <w:rsid w:val="0098401B"/>
    <w:rsid w:val="00984185"/>
    <w:rsid w:val="00984346"/>
    <w:rsid w:val="00984E7C"/>
    <w:rsid w:val="009850F9"/>
    <w:rsid w:val="00985A0A"/>
    <w:rsid w:val="00985DFE"/>
    <w:rsid w:val="009862EA"/>
    <w:rsid w:val="00986498"/>
    <w:rsid w:val="009864AD"/>
    <w:rsid w:val="00986BAF"/>
    <w:rsid w:val="00986F02"/>
    <w:rsid w:val="009870C2"/>
    <w:rsid w:val="009871F5"/>
    <w:rsid w:val="0098787A"/>
    <w:rsid w:val="009901AD"/>
    <w:rsid w:val="009903BE"/>
    <w:rsid w:val="0099048C"/>
    <w:rsid w:val="009909B5"/>
    <w:rsid w:val="00990A0D"/>
    <w:rsid w:val="00990F9D"/>
    <w:rsid w:val="00991262"/>
    <w:rsid w:val="00991393"/>
    <w:rsid w:val="0099157D"/>
    <w:rsid w:val="00991BF9"/>
    <w:rsid w:val="00991FEA"/>
    <w:rsid w:val="00992678"/>
    <w:rsid w:val="00992A2F"/>
    <w:rsid w:val="00992CEB"/>
    <w:rsid w:val="0099301D"/>
    <w:rsid w:val="00993371"/>
    <w:rsid w:val="00993D3F"/>
    <w:rsid w:val="00994071"/>
    <w:rsid w:val="009941BB"/>
    <w:rsid w:val="0099430F"/>
    <w:rsid w:val="009947BF"/>
    <w:rsid w:val="00994B05"/>
    <w:rsid w:val="00994C63"/>
    <w:rsid w:val="0099504A"/>
    <w:rsid w:val="00995228"/>
    <w:rsid w:val="00995798"/>
    <w:rsid w:val="00995A47"/>
    <w:rsid w:val="00995A75"/>
    <w:rsid w:val="00995B8C"/>
    <w:rsid w:val="00995CD4"/>
    <w:rsid w:val="00995F58"/>
    <w:rsid w:val="00996042"/>
    <w:rsid w:val="0099627D"/>
    <w:rsid w:val="009964DB"/>
    <w:rsid w:val="00996560"/>
    <w:rsid w:val="0099693E"/>
    <w:rsid w:val="00996958"/>
    <w:rsid w:val="00996995"/>
    <w:rsid w:val="00996A13"/>
    <w:rsid w:val="00996B94"/>
    <w:rsid w:val="00996DF7"/>
    <w:rsid w:val="009973EB"/>
    <w:rsid w:val="00997F65"/>
    <w:rsid w:val="009A0257"/>
    <w:rsid w:val="009A05AA"/>
    <w:rsid w:val="009A0665"/>
    <w:rsid w:val="009A0A6A"/>
    <w:rsid w:val="009A1155"/>
    <w:rsid w:val="009A1B34"/>
    <w:rsid w:val="009A1EF2"/>
    <w:rsid w:val="009A1F10"/>
    <w:rsid w:val="009A2275"/>
    <w:rsid w:val="009A256E"/>
    <w:rsid w:val="009A331C"/>
    <w:rsid w:val="009A3643"/>
    <w:rsid w:val="009A3E65"/>
    <w:rsid w:val="009A3E97"/>
    <w:rsid w:val="009A4978"/>
    <w:rsid w:val="009A4AC0"/>
    <w:rsid w:val="009A4CCF"/>
    <w:rsid w:val="009A4D6B"/>
    <w:rsid w:val="009A5126"/>
    <w:rsid w:val="009A55E4"/>
    <w:rsid w:val="009A569B"/>
    <w:rsid w:val="009A576F"/>
    <w:rsid w:val="009A5EBE"/>
    <w:rsid w:val="009A5F80"/>
    <w:rsid w:val="009A61AB"/>
    <w:rsid w:val="009A622D"/>
    <w:rsid w:val="009A63D1"/>
    <w:rsid w:val="009A6AF0"/>
    <w:rsid w:val="009B086F"/>
    <w:rsid w:val="009B0A14"/>
    <w:rsid w:val="009B0C5F"/>
    <w:rsid w:val="009B0F6C"/>
    <w:rsid w:val="009B1148"/>
    <w:rsid w:val="009B1760"/>
    <w:rsid w:val="009B1EEC"/>
    <w:rsid w:val="009B1F74"/>
    <w:rsid w:val="009B208F"/>
    <w:rsid w:val="009B20E2"/>
    <w:rsid w:val="009B2350"/>
    <w:rsid w:val="009B273B"/>
    <w:rsid w:val="009B2968"/>
    <w:rsid w:val="009B31F8"/>
    <w:rsid w:val="009B34F1"/>
    <w:rsid w:val="009B3633"/>
    <w:rsid w:val="009B3BDA"/>
    <w:rsid w:val="009B4421"/>
    <w:rsid w:val="009B45AE"/>
    <w:rsid w:val="009B45C0"/>
    <w:rsid w:val="009B4AAB"/>
    <w:rsid w:val="009B4F73"/>
    <w:rsid w:val="009B53A4"/>
    <w:rsid w:val="009B56D7"/>
    <w:rsid w:val="009B5805"/>
    <w:rsid w:val="009B59E7"/>
    <w:rsid w:val="009B5CE5"/>
    <w:rsid w:val="009B5DCA"/>
    <w:rsid w:val="009B6C0C"/>
    <w:rsid w:val="009B6D21"/>
    <w:rsid w:val="009B6D2F"/>
    <w:rsid w:val="009B6EFE"/>
    <w:rsid w:val="009B7159"/>
    <w:rsid w:val="009B7DDB"/>
    <w:rsid w:val="009B7F33"/>
    <w:rsid w:val="009C05B7"/>
    <w:rsid w:val="009C0FE6"/>
    <w:rsid w:val="009C1107"/>
    <w:rsid w:val="009C143F"/>
    <w:rsid w:val="009C2461"/>
    <w:rsid w:val="009C28AA"/>
    <w:rsid w:val="009C2C69"/>
    <w:rsid w:val="009C33A1"/>
    <w:rsid w:val="009C34C2"/>
    <w:rsid w:val="009C35BC"/>
    <w:rsid w:val="009C3DFB"/>
    <w:rsid w:val="009C3FF3"/>
    <w:rsid w:val="009C4022"/>
    <w:rsid w:val="009C4839"/>
    <w:rsid w:val="009C4DB8"/>
    <w:rsid w:val="009C4E87"/>
    <w:rsid w:val="009C4EEF"/>
    <w:rsid w:val="009C4F35"/>
    <w:rsid w:val="009C510C"/>
    <w:rsid w:val="009C5117"/>
    <w:rsid w:val="009C52F2"/>
    <w:rsid w:val="009C555D"/>
    <w:rsid w:val="009C5695"/>
    <w:rsid w:val="009C5BC3"/>
    <w:rsid w:val="009C5E3C"/>
    <w:rsid w:val="009C5EB7"/>
    <w:rsid w:val="009C697B"/>
    <w:rsid w:val="009C74F4"/>
    <w:rsid w:val="009C7658"/>
    <w:rsid w:val="009C7ADE"/>
    <w:rsid w:val="009D05A1"/>
    <w:rsid w:val="009D06DF"/>
    <w:rsid w:val="009D09D8"/>
    <w:rsid w:val="009D0BB2"/>
    <w:rsid w:val="009D0CE2"/>
    <w:rsid w:val="009D0CE3"/>
    <w:rsid w:val="009D0DE7"/>
    <w:rsid w:val="009D1D55"/>
    <w:rsid w:val="009D20BB"/>
    <w:rsid w:val="009D2118"/>
    <w:rsid w:val="009D2721"/>
    <w:rsid w:val="009D27D9"/>
    <w:rsid w:val="009D2C71"/>
    <w:rsid w:val="009D333E"/>
    <w:rsid w:val="009D3445"/>
    <w:rsid w:val="009D426D"/>
    <w:rsid w:val="009D509A"/>
    <w:rsid w:val="009D521E"/>
    <w:rsid w:val="009D53E2"/>
    <w:rsid w:val="009D5433"/>
    <w:rsid w:val="009D55CA"/>
    <w:rsid w:val="009D580B"/>
    <w:rsid w:val="009D623E"/>
    <w:rsid w:val="009D6B22"/>
    <w:rsid w:val="009D77E0"/>
    <w:rsid w:val="009D7893"/>
    <w:rsid w:val="009D79F1"/>
    <w:rsid w:val="009E08E7"/>
    <w:rsid w:val="009E0963"/>
    <w:rsid w:val="009E09D7"/>
    <w:rsid w:val="009E0ABF"/>
    <w:rsid w:val="009E0E60"/>
    <w:rsid w:val="009E0F9A"/>
    <w:rsid w:val="009E11D1"/>
    <w:rsid w:val="009E14F6"/>
    <w:rsid w:val="009E19E5"/>
    <w:rsid w:val="009E2217"/>
    <w:rsid w:val="009E244B"/>
    <w:rsid w:val="009E2483"/>
    <w:rsid w:val="009E28FB"/>
    <w:rsid w:val="009E2A4D"/>
    <w:rsid w:val="009E2A7E"/>
    <w:rsid w:val="009E313E"/>
    <w:rsid w:val="009E3167"/>
    <w:rsid w:val="009E3494"/>
    <w:rsid w:val="009E3548"/>
    <w:rsid w:val="009E3830"/>
    <w:rsid w:val="009E397C"/>
    <w:rsid w:val="009E3CD5"/>
    <w:rsid w:val="009E4452"/>
    <w:rsid w:val="009E4BC5"/>
    <w:rsid w:val="009E5B06"/>
    <w:rsid w:val="009E5B72"/>
    <w:rsid w:val="009E5CAC"/>
    <w:rsid w:val="009E5E5A"/>
    <w:rsid w:val="009E62EE"/>
    <w:rsid w:val="009E64D6"/>
    <w:rsid w:val="009E6681"/>
    <w:rsid w:val="009E6860"/>
    <w:rsid w:val="009E68D2"/>
    <w:rsid w:val="009E6A2C"/>
    <w:rsid w:val="009E6A54"/>
    <w:rsid w:val="009E6DC8"/>
    <w:rsid w:val="009E6EA5"/>
    <w:rsid w:val="009E771B"/>
    <w:rsid w:val="009E799D"/>
    <w:rsid w:val="009E7C90"/>
    <w:rsid w:val="009F004E"/>
    <w:rsid w:val="009F05D6"/>
    <w:rsid w:val="009F0E92"/>
    <w:rsid w:val="009F139F"/>
    <w:rsid w:val="009F1557"/>
    <w:rsid w:val="009F16A3"/>
    <w:rsid w:val="009F1B6E"/>
    <w:rsid w:val="009F1CAB"/>
    <w:rsid w:val="009F1D4C"/>
    <w:rsid w:val="009F2211"/>
    <w:rsid w:val="009F2742"/>
    <w:rsid w:val="009F281A"/>
    <w:rsid w:val="009F28E5"/>
    <w:rsid w:val="009F2A8D"/>
    <w:rsid w:val="009F3A5A"/>
    <w:rsid w:val="009F3AAF"/>
    <w:rsid w:val="009F3D0A"/>
    <w:rsid w:val="009F446E"/>
    <w:rsid w:val="009F46DD"/>
    <w:rsid w:val="009F50FD"/>
    <w:rsid w:val="009F51FC"/>
    <w:rsid w:val="009F52AA"/>
    <w:rsid w:val="009F5818"/>
    <w:rsid w:val="009F58F3"/>
    <w:rsid w:val="009F5978"/>
    <w:rsid w:val="009F5B0E"/>
    <w:rsid w:val="009F6737"/>
    <w:rsid w:val="009F681E"/>
    <w:rsid w:val="009F6B7D"/>
    <w:rsid w:val="009F6BA8"/>
    <w:rsid w:val="009F6BDC"/>
    <w:rsid w:val="009F6C03"/>
    <w:rsid w:val="009F6E11"/>
    <w:rsid w:val="009F700C"/>
    <w:rsid w:val="009F7058"/>
    <w:rsid w:val="009F70EB"/>
    <w:rsid w:val="009F72C3"/>
    <w:rsid w:val="009F7A62"/>
    <w:rsid w:val="009F7ED8"/>
    <w:rsid w:val="009F7EDB"/>
    <w:rsid w:val="00A0017E"/>
    <w:rsid w:val="00A0064F"/>
    <w:rsid w:val="00A0080A"/>
    <w:rsid w:val="00A00868"/>
    <w:rsid w:val="00A00B7F"/>
    <w:rsid w:val="00A00D13"/>
    <w:rsid w:val="00A00E19"/>
    <w:rsid w:val="00A00F4F"/>
    <w:rsid w:val="00A00F64"/>
    <w:rsid w:val="00A00FC5"/>
    <w:rsid w:val="00A0179F"/>
    <w:rsid w:val="00A02600"/>
    <w:rsid w:val="00A026D7"/>
    <w:rsid w:val="00A035D9"/>
    <w:rsid w:val="00A03ABF"/>
    <w:rsid w:val="00A03CA7"/>
    <w:rsid w:val="00A0436D"/>
    <w:rsid w:val="00A04A90"/>
    <w:rsid w:val="00A04BEE"/>
    <w:rsid w:val="00A04D88"/>
    <w:rsid w:val="00A04E61"/>
    <w:rsid w:val="00A04E87"/>
    <w:rsid w:val="00A05454"/>
    <w:rsid w:val="00A0549D"/>
    <w:rsid w:val="00A05A59"/>
    <w:rsid w:val="00A06206"/>
    <w:rsid w:val="00A0628A"/>
    <w:rsid w:val="00A064FB"/>
    <w:rsid w:val="00A06DA0"/>
    <w:rsid w:val="00A06DAC"/>
    <w:rsid w:val="00A076BB"/>
    <w:rsid w:val="00A078BC"/>
    <w:rsid w:val="00A07A25"/>
    <w:rsid w:val="00A07A46"/>
    <w:rsid w:val="00A07FB8"/>
    <w:rsid w:val="00A1078C"/>
    <w:rsid w:val="00A10838"/>
    <w:rsid w:val="00A11603"/>
    <w:rsid w:val="00A121CC"/>
    <w:rsid w:val="00A1222B"/>
    <w:rsid w:val="00A12E25"/>
    <w:rsid w:val="00A12E6B"/>
    <w:rsid w:val="00A13547"/>
    <w:rsid w:val="00A13B9D"/>
    <w:rsid w:val="00A14551"/>
    <w:rsid w:val="00A146AA"/>
    <w:rsid w:val="00A14B30"/>
    <w:rsid w:val="00A14BFE"/>
    <w:rsid w:val="00A14C03"/>
    <w:rsid w:val="00A14C30"/>
    <w:rsid w:val="00A153B8"/>
    <w:rsid w:val="00A15CCA"/>
    <w:rsid w:val="00A164F9"/>
    <w:rsid w:val="00A16586"/>
    <w:rsid w:val="00A165C2"/>
    <w:rsid w:val="00A16D21"/>
    <w:rsid w:val="00A16E1E"/>
    <w:rsid w:val="00A1789C"/>
    <w:rsid w:val="00A21686"/>
    <w:rsid w:val="00A22177"/>
    <w:rsid w:val="00A23518"/>
    <w:rsid w:val="00A23C88"/>
    <w:rsid w:val="00A24324"/>
    <w:rsid w:val="00A24568"/>
    <w:rsid w:val="00A2485B"/>
    <w:rsid w:val="00A24BE3"/>
    <w:rsid w:val="00A25313"/>
    <w:rsid w:val="00A2544D"/>
    <w:rsid w:val="00A25640"/>
    <w:rsid w:val="00A25A55"/>
    <w:rsid w:val="00A25C25"/>
    <w:rsid w:val="00A25DF0"/>
    <w:rsid w:val="00A26D28"/>
    <w:rsid w:val="00A273DD"/>
    <w:rsid w:val="00A27492"/>
    <w:rsid w:val="00A27B68"/>
    <w:rsid w:val="00A27D2F"/>
    <w:rsid w:val="00A27DFB"/>
    <w:rsid w:val="00A27E04"/>
    <w:rsid w:val="00A27E74"/>
    <w:rsid w:val="00A27F44"/>
    <w:rsid w:val="00A3020B"/>
    <w:rsid w:val="00A304EB"/>
    <w:rsid w:val="00A30A78"/>
    <w:rsid w:val="00A3107D"/>
    <w:rsid w:val="00A310B0"/>
    <w:rsid w:val="00A311DE"/>
    <w:rsid w:val="00A31915"/>
    <w:rsid w:val="00A31A6B"/>
    <w:rsid w:val="00A31E0D"/>
    <w:rsid w:val="00A3219B"/>
    <w:rsid w:val="00A3390C"/>
    <w:rsid w:val="00A3391A"/>
    <w:rsid w:val="00A344D0"/>
    <w:rsid w:val="00A349A4"/>
    <w:rsid w:val="00A349F3"/>
    <w:rsid w:val="00A34A28"/>
    <w:rsid w:val="00A34FE1"/>
    <w:rsid w:val="00A35071"/>
    <w:rsid w:val="00A3508E"/>
    <w:rsid w:val="00A35183"/>
    <w:rsid w:val="00A356C3"/>
    <w:rsid w:val="00A35785"/>
    <w:rsid w:val="00A3598B"/>
    <w:rsid w:val="00A3647B"/>
    <w:rsid w:val="00A3695F"/>
    <w:rsid w:val="00A36D5E"/>
    <w:rsid w:val="00A3709E"/>
    <w:rsid w:val="00A40FC8"/>
    <w:rsid w:val="00A4106D"/>
    <w:rsid w:val="00A42036"/>
    <w:rsid w:val="00A429A9"/>
    <w:rsid w:val="00A42BBB"/>
    <w:rsid w:val="00A42C3D"/>
    <w:rsid w:val="00A42D19"/>
    <w:rsid w:val="00A42D6D"/>
    <w:rsid w:val="00A43437"/>
    <w:rsid w:val="00A43897"/>
    <w:rsid w:val="00A449E0"/>
    <w:rsid w:val="00A44D81"/>
    <w:rsid w:val="00A44EED"/>
    <w:rsid w:val="00A44F9D"/>
    <w:rsid w:val="00A45391"/>
    <w:rsid w:val="00A45A06"/>
    <w:rsid w:val="00A46FC7"/>
    <w:rsid w:val="00A46FF3"/>
    <w:rsid w:val="00A470A5"/>
    <w:rsid w:val="00A4733C"/>
    <w:rsid w:val="00A47490"/>
    <w:rsid w:val="00A47993"/>
    <w:rsid w:val="00A47BC5"/>
    <w:rsid w:val="00A5071C"/>
    <w:rsid w:val="00A50C24"/>
    <w:rsid w:val="00A50DC1"/>
    <w:rsid w:val="00A50E78"/>
    <w:rsid w:val="00A5111A"/>
    <w:rsid w:val="00A51539"/>
    <w:rsid w:val="00A517CD"/>
    <w:rsid w:val="00A519D8"/>
    <w:rsid w:val="00A51A03"/>
    <w:rsid w:val="00A520D2"/>
    <w:rsid w:val="00A529DE"/>
    <w:rsid w:val="00A52ADD"/>
    <w:rsid w:val="00A52F32"/>
    <w:rsid w:val="00A53676"/>
    <w:rsid w:val="00A53950"/>
    <w:rsid w:val="00A541F5"/>
    <w:rsid w:val="00A54B19"/>
    <w:rsid w:val="00A55742"/>
    <w:rsid w:val="00A566EF"/>
    <w:rsid w:val="00A56AB2"/>
    <w:rsid w:val="00A56CEE"/>
    <w:rsid w:val="00A56F7E"/>
    <w:rsid w:val="00A56FA8"/>
    <w:rsid w:val="00A6062D"/>
    <w:rsid w:val="00A60684"/>
    <w:rsid w:val="00A60800"/>
    <w:rsid w:val="00A60CB6"/>
    <w:rsid w:val="00A60E5C"/>
    <w:rsid w:val="00A61446"/>
    <w:rsid w:val="00A6151B"/>
    <w:rsid w:val="00A61867"/>
    <w:rsid w:val="00A61C5F"/>
    <w:rsid w:val="00A61D08"/>
    <w:rsid w:val="00A61D43"/>
    <w:rsid w:val="00A62050"/>
    <w:rsid w:val="00A6250D"/>
    <w:rsid w:val="00A62878"/>
    <w:rsid w:val="00A63393"/>
    <w:rsid w:val="00A6361C"/>
    <w:rsid w:val="00A64222"/>
    <w:rsid w:val="00A663E1"/>
    <w:rsid w:val="00A6647E"/>
    <w:rsid w:val="00A6672A"/>
    <w:rsid w:val="00A66754"/>
    <w:rsid w:val="00A6697E"/>
    <w:rsid w:val="00A6796D"/>
    <w:rsid w:val="00A67A75"/>
    <w:rsid w:val="00A70438"/>
    <w:rsid w:val="00A70A5B"/>
    <w:rsid w:val="00A71BBD"/>
    <w:rsid w:val="00A71F2A"/>
    <w:rsid w:val="00A7219E"/>
    <w:rsid w:val="00A729A5"/>
    <w:rsid w:val="00A72CDF"/>
    <w:rsid w:val="00A72FBC"/>
    <w:rsid w:val="00A73085"/>
    <w:rsid w:val="00A7315F"/>
    <w:rsid w:val="00A735FA"/>
    <w:rsid w:val="00A739B3"/>
    <w:rsid w:val="00A740AE"/>
    <w:rsid w:val="00A74101"/>
    <w:rsid w:val="00A74189"/>
    <w:rsid w:val="00A74AB7"/>
    <w:rsid w:val="00A75312"/>
    <w:rsid w:val="00A7539E"/>
    <w:rsid w:val="00A75794"/>
    <w:rsid w:val="00A75A04"/>
    <w:rsid w:val="00A76880"/>
    <w:rsid w:val="00A76957"/>
    <w:rsid w:val="00A769CF"/>
    <w:rsid w:val="00A76C1F"/>
    <w:rsid w:val="00A76F41"/>
    <w:rsid w:val="00A7741B"/>
    <w:rsid w:val="00A775CE"/>
    <w:rsid w:val="00A77775"/>
    <w:rsid w:val="00A777A0"/>
    <w:rsid w:val="00A77858"/>
    <w:rsid w:val="00A801B8"/>
    <w:rsid w:val="00A808AB"/>
    <w:rsid w:val="00A80D7E"/>
    <w:rsid w:val="00A80E49"/>
    <w:rsid w:val="00A80F31"/>
    <w:rsid w:val="00A80F43"/>
    <w:rsid w:val="00A811BD"/>
    <w:rsid w:val="00A812DF"/>
    <w:rsid w:val="00A82042"/>
    <w:rsid w:val="00A82DAB"/>
    <w:rsid w:val="00A830ED"/>
    <w:rsid w:val="00A83885"/>
    <w:rsid w:val="00A83C70"/>
    <w:rsid w:val="00A84049"/>
    <w:rsid w:val="00A841BA"/>
    <w:rsid w:val="00A841E6"/>
    <w:rsid w:val="00A84894"/>
    <w:rsid w:val="00A84C2E"/>
    <w:rsid w:val="00A8504F"/>
    <w:rsid w:val="00A85C0C"/>
    <w:rsid w:val="00A8624D"/>
    <w:rsid w:val="00A864F2"/>
    <w:rsid w:val="00A86B33"/>
    <w:rsid w:val="00A870B8"/>
    <w:rsid w:val="00A87445"/>
    <w:rsid w:val="00A876CA"/>
    <w:rsid w:val="00A87801"/>
    <w:rsid w:val="00A87D39"/>
    <w:rsid w:val="00A900D6"/>
    <w:rsid w:val="00A90AA4"/>
    <w:rsid w:val="00A90B30"/>
    <w:rsid w:val="00A90B66"/>
    <w:rsid w:val="00A918ED"/>
    <w:rsid w:val="00A91D20"/>
    <w:rsid w:val="00A91FB9"/>
    <w:rsid w:val="00A92252"/>
    <w:rsid w:val="00A922D8"/>
    <w:rsid w:val="00A9241E"/>
    <w:rsid w:val="00A927CE"/>
    <w:rsid w:val="00A92A5E"/>
    <w:rsid w:val="00A92BEE"/>
    <w:rsid w:val="00A92F52"/>
    <w:rsid w:val="00A93773"/>
    <w:rsid w:val="00A9390E"/>
    <w:rsid w:val="00A93AFE"/>
    <w:rsid w:val="00A93C2D"/>
    <w:rsid w:val="00A93C95"/>
    <w:rsid w:val="00A93E12"/>
    <w:rsid w:val="00A93E5C"/>
    <w:rsid w:val="00A93F72"/>
    <w:rsid w:val="00A943B4"/>
    <w:rsid w:val="00A94581"/>
    <w:rsid w:val="00A947DB"/>
    <w:rsid w:val="00A94BD2"/>
    <w:rsid w:val="00A94DD4"/>
    <w:rsid w:val="00A94EE1"/>
    <w:rsid w:val="00A956DC"/>
    <w:rsid w:val="00A957F8"/>
    <w:rsid w:val="00A95C5F"/>
    <w:rsid w:val="00A9608B"/>
    <w:rsid w:val="00A96684"/>
    <w:rsid w:val="00A97027"/>
    <w:rsid w:val="00A97989"/>
    <w:rsid w:val="00A97A0C"/>
    <w:rsid w:val="00AA0662"/>
    <w:rsid w:val="00AA0766"/>
    <w:rsid w:val="00AA0FA6"/>
    <w:rsid w:val="00AA10E0"/>
    <w:rsid w:val="00AA1808"/>
    <w:rsid w:val="00AA2C42"/>
    <w:rsid w:val="00AA2E07"/>
    <w:rsid w:val="00AA351F"/>
    <w:rsid w:val="00AA3A8D"/>
    <w:rsid w:val="00AA4BAD"/>
    <w:rsid w:val="00AA53E0"/>
    <w:rsid w:val="00AA55AE"/>
    <w:rsid w:val="00AA59DC"/>
    <w:rsid w:val="00AA6610"/>
    <w:rsid w:val="00AA6A43"/>
    <w:rsid w:val="00AA6D5F"/>
    <w:rsid w:val="00AA6FB5"/>
    <w:rsid w:val="00AA7097"/>
    <w:rsid w:val="00AA70C7"/>
    <w:rsid w:val="00AA73B9"/>
    <w:rsid w:val="00AA743F"/>
    <w:rsid w:val="00AA7727"/>
    <w:rsid w:val="00AA7B32"/>
    <w:rsid w:val="00AA7C80"/>
    <w:rsid w:val="00AA7F0F"/>
    <w:rsid w:val="00AB043C"/>
    <w:rsid w:val="00AB0814"/>
    <w:rsid w:val="00AB0849"/>
    <w:rsid w:val="00AB1815"/>
    <w:rsid w:val="00AB18C6"/>
    <w:rsid w:val="00AB1F06"/>
    <w:rsid w:val="00AB20C9"/>
    <w:rsid w:val="00AB2FBF"/>
    <w:rsid w:val="00AB3421"/>
    <w:rsid w:val="00AB35D8"/>
    <w:rsid w:val="00AB364A"/>
    <w:rsid w:val="00AB37E6"/>
    <w:rsid w:val="00AB4299"/>
    <w:rsid w:val="00AB4870"/>
    <w:rsid w:val="00AB4947"/>
    <w:rsid w:val="00AB5994"/>
    <w:rsid w:val="00AB5BA9"/>
    <w:rsid w:val="00AB637F"/>
    <w:rsid w:val="00AB6601"/>
    <w:rsid w:val="00AB6654"/>
    <w:rsid w:val="00AB66A9"/>
    <w:rsid w:val="00AB67B3"/>
    <w:rsid w:val="00AB6814"/>
    <w:rsid w:val="00AB6F8F"/>
    <w:rsid w:val="00AB700B"/>
    <w:rsid w:val="00AB7247"/>
    <w:rsid w:val="00AB7704"/>
    <w:rsid w:val="00AC045E"/>
    <w:rsid w:val="00AC0FB2"/>
    <w:rsid w:val="00AC12EC"/>
    <w:rsid w:val="00AC2296"/>
    <w:rsid w:val="00AC265B"/>
    <w:rsid w:val="00AC2A08"/>
    <w:rsid w:val="00AC335C"/>
    <w:rsid w:val="00AC3A02"/>
    <w:rsid w:val="00AC4890"/>
    <w:rsid w:val="00AC4E03"/>
    <w:rsid w:val="00AC52CB"/>
    <w:rsid w:val="00AC58D3"/>
    <w:rsid w:val="00AC5F92"/>
    <w:rsid w:val="00AC600B"/>
    <w:rsid w:val="00AC604A"/>
    <w:rsid w:val="00AC6115"/>
    <w:rsid w:val="00AC667C"/>
    <w:rsid w:val="00AC6983"/>
    <w:rsid w:val="00AC7063"/>
    <w:rsid w:val="00AC7105"/>
    <w:rsid w:val="00AC72E6"/>
    <w:rsid w:val="00AC791B"/>
    <w:rsid w:val="00AC7CA8"/>
    <w:rsid w:val="00AC7FAB"/>
    <w:rsid w:val="00AD008F"/>
    <w:rsid w:val="00AD032D"/>
    <w:rsid w:val="00AD032F"/>
    <w:rsid w:val="00AD04C2"/>
    <w:rsid w:val="00AD0BB9"/>
    <w:rsid w:val="00AD0F92"/>
    <w:rsid w:val="00AD0FC2"/>
    <w:rsid w:val="00AD1153"/>
    <w:rsid w:val="00AD156F"/>
    <w:rsid w:val="00AD18E2"/>
    <w:rsid w:val="00AD1A72"/>
    <w:rsid w:val="00AD1F79"/>
    <w:rsid w:val="00AD21E0"/>
    <w:rsid w:val="00AD2291"/>
    <w:rsid w:val="00AD2D1F"/>
    <w:rsid w:val="00AD36DF"/>
    <w:rsid w:val="00AD3FDF"/>
    <w:rsid w:val="00AD4450"/>
    <w:rsid w:val="00AD49C9"/>
    <w:rsid w:val="00AD4D30"/>
    <w:rsid w:val="00AD501D"/>
    <w:rsid w:val="00AD51F5"/>
    <w:rsid w:val="00AD5691"/>
    <w:rsid w:val="00AD5B5B"/>
    <w:rsid w:val="00AD5DF7"/>
    <w:rsid w:val="00AD5FED"/>
    <w:rsid w:val="00AD6743"/>
    <w:rsid w:val="00AD6C4A"/>
    <w:rsid w:val="00AD6DAD"/>
    <w:rsid w:val="00AD6F0E"/>
    <w:rsid w:val="00AD71DF"/>
    <w:rsid w:val="00AD73D0"/>
    <w:rsid w:val="00AD77D3"/>
    <w:rsid w:val="00AD7953"/>
    <w:rsid w:val="00AD7A28"/>
    <w:rsid w:val="00AD7BC0"/>
    <w:rsid w:val="00AD7C01"/>
    <w:rsid w:val="00AE033C"/>
    <w:rsid w:val="00AE0571"/>
    <w:rsid w:val="00AE06EE"/>
    <w:rsid w:val="00AE0AA6"/>
    <w:rsid w:val="00AE0FE4"/>
    <w:rsid w:val="00AE10D2"/>
    <w:rsid w:val="00AE115E"/>
    <w:rsid w:val="00AE136A"/>
    <w:rsid w:val="00AE1632"/>
    <w:rsid w:val="00AE1C0C"/>
    <w:rsid w:val="00AE2012"/>
    <w:rsid w:val="00AE2123"/>
    <w:rsid w:val="00AE2CF4"/>
    <w:rsid w:val="00AE2DFA"/>
    <w:rsid w:val="00AE30E0"/>
    <w:rsid w:val="00AE3597"/>
    <w:rsid w:val="00AE3CBB"/>
    <w:rsid w:val="00AE3E2B"/>
    <w:rsid w:val="00AE4877"/>
    <w:rsid w:val="00AE4DBD"/>
    <w:rsid w:val="00AE5676"/>
    <w:rsid w:val="00AE57E4"/>
    <w:rsid w:val="00AE59E4"/>
    <w:rsid w:val="00AE5DB0"/>
    <w:rsid w:val="00AE5F61"/>
    <w:rsid w:val="00AE685D"/>
    <w:rsid w:val="00AE698F"/>
    <w:rsid w:val="00AE69D3"/>
    <w:rsid w:val="00AE7B1C"/>
    <w:rsid w:val="00AE7BEA"/>
    <w:rsid w:val="00AE7E3F"/>
    <w:rsid w:val="00AF0BAC"/>
    <w:rsid w:val="00AF1057"/>
    <w:rsid w:val="00AF10F6"/>
    <w:rsid w:val="00AF13B1"/>
    <w:rsid w:val="00AF14DA"/>
    <w:rsid w:val="00AF1F53"/>
    <w:rsid w:val="00AF2299"/>
    <w:rsid w:val="00AF2549"/>
    <w:rsid w:val="00AF2E0B"/>
    <w:rsid w:val="00AF2EE1"/>
    <w:rsid w:val="00AF3323"/>
    <w:rsid w:val="00AF3346"/>
    <w:rsid w:val="00AF33DB"/>
    <w:rsid w:val="00AF3B7A"/>
    <w:rsid w:val="00AF3CF5"/>
    <w:rsid w:val="00AF3DD6"/>
    <w:rsid w:val="00AF3F0A"/>
    <w:rsid w:val="00AF3FF2"/>
    <w:rsid w:val="00AF413C"/>
    <w:rsid w:val="00AF41CC"/>
    <w:rsid w:val="00AF56C0"/>
    <w:rsid w:val="00AF5E45"/>
    <w:rsid w:val="00AF663F"/>
    <w:rsid w:val="00AF66A9"/>
    <w:rsid w:val="00AF6C42"/>
    <w:rsid w:val="00AF6C72"/>
    <w:rsid w:val="00AF6CC3"/>
    <w:rsid w:val="00AF71A6"/>
    <w:rsid w:val="00AF74C1"/>
    <w:rsid w:val="00AF7CFE"/>
    <w:rsid w:val="00AF7DE0"/>
    <w:rsid w:val="00B004D3"/>
    <w:rsid w:val="00B006FE"/>
    <w:rsid w:val="00B00816"/>
    <w:rsid w:val="00B00B75"/>
    <w:rsid w:val="00B00BFC"/>
    <w:rsid w:val="00B014F2"/>
    <w:rsid w:val="00B019D5"/>
    <w:rsid w:val="00B01DCA"/>
    <w:rsid w:val="00B02034"/>
    <w:rsid w:val="00B020DF"/>
    <w:rsid w:val="00B02230"/>
    <w:rsid w:val="00B0241C"/>
    <w:rsid w:val="00B02832"/>
    <w:rsid w:val="00B02A68"/>
    <w:rsid w:val="00B02CC6"/>
    <w:rsid w:val="00B02DCE"/>
    <w:rsid w:val="00B02F29"/>
    <w:rsid w:val="00B0316C"/>
    <w:rsid w:val="00B03981"/>
    <w:rsid w:val="00B03C58"/>
    <w:rsid w:val="00B03C83"/>
    <w:rsid w:val="00B03D7F"/>
    <w:rsid w:val="00B03DEE"/>
    <w:rsid w:val="00B04EB9"/>
    <w:rsid w:val="00B056FF"/>
    <w:rsid w:val="00B05CFF"/>
    <w:rsid w:val="00B067C5"/>
    <w:rsid w:val="00B10014"/>
    <w:rsid w:val="00B10139"/>
    <w:rsid w:val="00B10758"/>
    <w:rsid w:val="00B108B3"/>
    <w:rsid w:val="00B10A4E"/>
    <w:rsid w:val="00B10EDF"/>
    <w:rsid w:val="00B112E7"/>
    <w:rsid w:val="00B11347"/>
    <w:rsid w:val="00B117F1"/>
    <w:rsid w:val="00B11D6B"/>
    <w:rsid w:val="00B12184"/>
    <w:rsid w:val="00B12230"/>
    <w:rsid w:val="00B12415"/>
    <w:rsid w:val="00B13029"/>
    <w:rsid w:val="00B13B2E"/>
    <w:rsid w:val="00B13EA9"/>
    <w:rsid w:val="00B143D2"/>
    <w:rsid w:val="00B14568"/>
    <w:rsid w:val="00B14808"/>
    <w:rsid w:val="00B1499E"/>
    <w:rsid w:val="00B14A3C"/>
    <w:rsid w:val="00B14B00"/>
    <w:rsid w:val="00B15534"/>
    <w:rsid w:val="00B1580E"/>
    <w:rsid w:val="00B15E43"/>
    <w:rsid w:val="00B15F7B"/>
    <w:rsid w:val="00B16AD5"/>
    <w:rsid w:val="00B17152"/>
    <w:rsid w:val="00B174E3"/>
    <w:rsid w:val="00B20434"/>
    <w:rsid w:val="00B205B2"/>
    <w:rsid w:val="00B20BE6"/>
    <w:rsid w:val="00B20D9F"/>
    <w:rsid w:val="00B21313"/>
    <w:rsid w:val="00B218D7"/>
    <w:rsid w:val="00B21940"/>
    <w:rsid w:val="00B2199C"/>
    <w:rsid w:val="00B21A2C"/>
    <w:rsid w:val="00B21AAD"/>
    <w:rsid w:val="00B21FD2"/>
    <w:rsid w:val="00B22E6D"/>
    <w:rsid w:val="00B22F61"/>
    <w:rsid w:val="00B23031"/>
    <w:rsid w:val="00B230FA"/>
    <w:rsid w:val="00B239A7"/>
    <w:rsid w:val="00B23B8E"/>
    <w:rsid w:val="00B23DBE"/>
    <w:rsid w:val="00B243FD"/>
    <w:rsid w:val="00B248D1"/>
    <w:rsid w:val="00B249E2"/>
    <w:rsid w:val="00B24BBE"/>
    <w:rsid w:val="00B24E09"/>
    <w:rsid w:val="00B24F33"/>
    <w:rsid w:val="00B26120"/>
    <w:rsid w:val="00B2646B"/>
    <w:rsid w:val="00B26760"/>
    <w:rsid w:val="00B26804"/>
    <w:rsid w:val="00B26AFE"/>
    <w:rsid w:val="00B2757B"/>
    <w:rsid w:val="00B27EDC"/>
    <w:rsid w:val="00B30455"/>
    <w:rsid w:val="00B304E9"/>
    <w:rsid w:val="00B306A2"/>
    <w:rsid w:val="00B31772"/>
    <w:rsid w:val="00B31EC3"/>
    <w:rsid w:val="00B3291F"/>
    <w:rsid w:val="00B32B68"/>
    <w:rsid w:val="00B32BC5"/>
    <w:rsid w:val="00B32D26"/>
    <w:rsid w:val="00B3405B"/>
    <w:rsid w:val="00B34174"/>
    <w:rsid w:val="00B3445E"/>
    <w:rsid w:val="00B3448C"/>
    <w:rsid w:val="00B344A9"/>
    <w:rsid w:val="00B344C5"/>
    <w:rsid w:val="00B344F3"/>
    <w:rsid w:val="00B346A3"/>
    <w:rsid w:val="00B34A13"/>
    <w:rsid w:val="00B34C41"/>
    <w:rsid w:val="00B3526D"/>
    <w:rsid w:val="00B356B6"/>
    <w:rsid w:val="00B35A70"/>
    <w:rsid w:val="00B35D83"/>
    <w:rsid w:val="00B35FF7"/>
    <w:rsid w:val="00B36673"/>
    <w:rsid w:val="00B36A5E"/>
    <w:rsid w:val="00B36CB4"/>
    <w:rsid w:val="00B37273"/>
    <w:rsid w:val="00B372F6"/>
    <w:rsid w:val="00B377EF"/>
    <w:rsid w:val="00B40314"/>
    <w:rsid w:val="00B40A9B"/>
    <w:rsid w:val="00B411EE"/>
    <w:rsid w:val="00B418A9"/>
    <w:rsid w:val="00B41C39"/>
    <w:rsid w:val="00B42028"/>
    <w:rsid w:val="00B420C8"/>
    <w:rsid w:val="00B4230C"/>
    <w:rsid w:val="00B42868"/>
    <w:rsid w:val="00B428E8"/>
    <w:rsid w:val="00B42C4B"/>
    <w:rsid w:val="00B43385"/>
    <w:rsid w:val="00B43DAA"/>
    <w:rsid w:val="00B43DDE"/>
    <w:rsid w:val="00B43F21"/>
    <w:rsid w:val="00B43FC6"/>
    <w:rsid w:val="00B448A2"/>
    <w:rsid w:val="00B44A1A"/>
    <w:rsid w:val="00B44D9D"/>
    <w:rsid w:val="00B4540F"/>
    <w:rsid w:val="00B454AD"/>
    <w:rsid w:val="00B45670"/>
    <w:rsid w:val="00B45773"/>
    <w:rsid w:val="00B45911"/>
    <w:rsid w:val="00B464DE"/>
    <w:rsid w:val="00B46C72"/>
    <w:rsid w:val="00B46F42"/>
    <w:rsid w:val="00B476B0"/>
    <w:rsid w:val="00B47784"/>
    <w:rsid w:val="00B478FB"/>
    <w:rsid w:val="00B501C7"/>
    <w:rsid w:val="00B507FE"/>
    <w:rsid w:val="00B509EA"/>
    <w:rsid w:val="00B50A64"/>
    <w:rsid w:val="00B50B59"/>
    <w:rsid w:val="00B50D95"/>
    <w:rsid w:val="00B51364"/>
    <w:rsid w:val="00B514C3"/>
    <w:rsid w:val="00B51A32"/>
    <w:rsid w:val="00B51D70"/>
    <w:rsid w:val="00B51EF9"/>
    <w:rsid w:val="00B5207C"/>
    <w:rsid w:val="00B5244D"/>
    <w:rsid w:val="00B5248D"/>
    <w:rsid w:val="00B5259C"/>
    <w:rsid w:val="00B52C38"/>
    <w:rsid w:val="00B52C4C"/>
    <w:rsid w:val="00B52F78"/>
    <w:rsid w:val="00B530EB"/>
    <w:rsid w:val="00B53360"/>
    <w:rsid w:val="00B533CE"/>
    <w:rsid w:val="00B53C65"/>
    <w:rsid w:val="00B53DFB"/>
    <w:rsid w:val="00B54049"/>
    <w:rsid w:val="00B54067"/>
    <w:rsid w:val="00B540A4"/>
    <w:rsid w:val="00B543E3"/>
    <w:rsid w:val="00B548D6"/>
    <w:rsid w:val="00B5490A"/>
    <w:rsid w:val="00B54F5B"/>
    <w:rsid w:val="00B55069"/>
    <w:rsid w:val="00B55173"/>
    <w:rsid w:val="00B55327"/>
    <w:rsid w:val="00B55401"/>
    <w:rsid w:val="00B557F7"/>
    <w:rsid w:val="00B55B4A"/>
    <w:rsid w:val="00B55B60"/>
    <w:rsid w:val="00B55C0D"/>
    <w:rsid w:val="00B55C49"/>
    <w:rsid w:val="00B55F8A"/>
    <w:rsid w:val="00B56011"/>
    <w:rsid w:val="00B56783"/>
    <w:rsid w:val="00B56903"/>
    <w:rsid w:val="00B569CB"/>
    <w:rsid w:val="00B56FAA"/>
    <w:rsid w:val="00B57232"/>
    <w:rsid w:val="00B57294"/>
    <w:rsid w:val="00B57B65"/>
    <w:rsid w:val="00B57D3A"/>
    <w:rsid w:val="00B60282"/>
    <w:rsid w:val="00B6053A"/>
    <w:rsid w:val="00B60559"/>
    <w:rsid w:val="00B6143A"/>
    <w:rsid w:val="00B614B6"/>
    <w:rsid w:val="00B618FE"/>
    <w:rsid w:val="00B61A4D"/>
    <w:rsid w:val="00B61B8D"/>
    <w:rsid w:val="00B61CFF"/>
    <w:rsid w:val="00B61DAD"/>
    <w:rsid w:val="00B62712"/>
    <w:rsid w:val="00B62E65"/>
    <w:rsid w:val="00B638D6"/>
    <w:rsid w:val="00B6445E"/>
    <w:rsid w:val="00B645B3"/>
    <w:rsid w:val="00B64F32"/>
    <w:rsid w:val="00B652AC"/>
    <w:rsid w:val="00B654F8"/>
    <w:rsid w:val="00B65FA8"/>
    <w:rsid w:val="00B66133"/>
    <w:rsid w:val="00B67224"/>
    <w:rsid w:val="00B6723C"/>
    <w:rsid w:val="00B676B3"/>
    <w:rsid w:val="00B67989"/>
    <w:rsid w:val="00B67E30"/>
    <w:rsid w:val="00B70002"/>
    <w:rsid w:val="00B70748"/>
    <w:rsid w:val="00B70E2F"/>
    <w:rsid w:val="00B70F05"/>
    <w:rsid w:val="00B710CE"/>
    <w:rsid w:val="00B715CA"/>
    <w:rsid w:val="00B721F1"/>
    <w:rsid w:val="00B72BAB"/>
    <w:rsid w:val="00B733A0"/>
    <w:rsid w:val="00B73727"/>
    <w:rsid w:val="00B73845"/>
    <w:rsid w:val="00B73A19"/>
    <w:rsid w:val="00B745BB"/>
    <w:rsid w:val="00B749D6"/>
    <w:rsid w:val="00B74B4A"/>
    <w:rsid w:val="00B74CEC"/>
    <w:rsid w:val="00B74E3A"/>
    <w:rsid w:val="00B75363"/>
    <w:rsid w:val="00B75BD7"/>
    <w:rsid w:val="00B75E3B"/>
    <w:rsid w:val="00B75E4B"/>
    <w:rsid w:val="00B75F78"/>
    <w:rsid w:val="00B76024"/>
    <w:rsid w:val="00B76A66"/>
    <w:rsid w:val="00B77234"/>
    <w:rsid w:val="00B7793B"/>
    <w:rsid w:val="00B77BB5"/>
    <w:rsid w:val="00B77BC5"/>
    <w:rsid w:val="00B80EF9"/>
    <w:rsid w:val="00B80F94"/>
    <w:rsid w:val="00B811CA"/>
    <w:rsid w:val="00B81912"/>
    <w:rsid w:val="00B81952"/>
    <w:rsid w:val="00B81D64"/>
    <w:rsid w:val="00B81F24"/>
    <w:rsid w:val="00B82612"/>
    <w:rsid w:val="00B82A96"/>
    <w:rsid w:val="00B82ADB"/>
    <w:rsid w:val="00B83B12"/>
    <w:rsid w:val="00B844F8"/>
    <w:rsid w:val="00B8474C"/>
    <w:rsid w:val="00B84D5A"/>
    <w:rsid w:val="00B85A0B"/>
    <w:rsid w:val="00B85B38"/>
    <w:rsid w:val="00B85B4C"/>
    <w:rsid w:val="00B85C76"/>
    <w:rsid w:val="00B85FB2"/>
    <w:rsid w:val="00B85FCD"/>
    <w:rsid w:val="00B8609B"/>
    <w:rsid w:val="00B861F8"/>
    <w:rsid w:val="00B864F1"/>
    <w:rsid w:val="00B86847"/>
    <w:rsid w:val="00B86869"/>
    <w:rsid w:val="00B86E65"/>
    <w:rsid w:val="00B86F05"/>
    <w:rsid w:val="00B8748F"/>
    <w:rsid w:val="00B87A68"/>
    <w:rsid w:val="00B87B9D"/>
    <w:rsid w:val="00B900B8"/>
    <w:rsid w:val="00B9036B"/>
    <w:rsid w:val="00B904F4"/>
    <w:rsid w:val="00B90848"/>
    <w:rsid w:val="00B908F3"/>
    <w:rsid w:val="00B9097B"/>
    <w:rsid w:val="00B90D4F"/>
    <w:rsid w:val="00B90D9E"/>
    <w:rsid w:val="00B90E66"/>
    <w:rsid w:val="00B912F7"/>
    <w:rsid w:val="00B91363"/>
    <w:rsid w:val="00B91723"/>
    <w:rsid w:val="00B917CB"/>
    <w:rsid w:val="00B91F33"/>
    <w:rsid w:val="00B922BD"/>
    <w:rsid w:val="00B92536"/>
    <w:rsid w:val="00B92CBC"/>
    <w:rsid w:val="00B92EFC"/>
    <w:rsid w:val="00B92F17"/>
    <w:rsid w:val="00B934D6"/>
    <w:rsid w:val="00B9398C"/>
    <w:rsid w:val="00B93F0C"/>
    <w:rsid w:val="00B93F9E"/>
    <w:rsid w:val="00B9420A"/>
    <w:rsid w:val="00B942DC"/>
    <w:rsid w:val="00B94B87"/>
    <w:rsid w:val="00B94D41"/>
    <w:rsid w:val="00B95125"/>
    <w:rsid w:val="00B96101"/>
    <w:rsid w:val="00B96591"/>
    <w:rsid w:val="00B965EE"/>
    <w:rsid w:val="00B96752"/>
    <w:rsid w:val="00B96782"/>
    <w:rsid w:val="00B96AB1"/>
    <w:rsid w:val="00B96E9F"/>
    <w:rsid w:val="00B971BF"/>
    <w:rsid w:val="00B9729A"/>
    <w:rsid w:val="00B9745C"/>
    <w:rsid w:val="00B97B10"/>
    <w:rsid w:val="00B97DFF"/>
    <w:rsid w:val="00BA0090"/>
    <w:rsid w:val="00BA0517"/>
    <w:rsid w:val="00BA07EF"/>
    <w:rsid w:val="00BA0FD6"/>
    <w:rsid w:val="00BA112F"/>
    <w:rsid w:val="00BA1441"/>
    <w:rsid w:val="00BA1A4C"/>
    <w:rsid w:val="00BA1BF2"/>
    <w:rsid w:val="00BA23A1"/>
    <w:rsid w:val="00BA25DA"/>
    <w:rsid w:val="00BA27C1"/>
    <w:rsid w:val="00BA2A48"/>
    <w:rsid w:val="00BA2E30"/>
    <w:rsid w:val="00BA3146"/>
    <w:rsid w:val="00BA33FC"/>
    <w:rsid w:val="00BA35B3"/>
    <w:rsid w:val="00BA401B"/>
    <w:rsid w:val="00BA46A4"/>
    <w:rsid w:val="00BA4B14"/>
    <w:rsid w:val="00BA53CF"/>
    <w:rsid w:val="00BA58D9"/>
    <w:rsid w:val="00BA5AE3"/>
    <w:rsid w:val="00BA5B04"/>
    <w:rsid w:val="00BA5F96"/>
    <w:rsid w:val="00BA6090"/>
    <w:rsid w:val="00BA62BD"/>
    <w:rsid w:val="00BA6874"/>
    <w:rsid w:val="00BA6DA2"/>
    <w:rsid w:val="00BA7014"/>
    <w:rsid w:val="00BA71E1"/>
    <w:rsid w:val="00BA74AC"/>
    <w:rsid w:val="00BA7AD6"/>
    <w:rsid w:val="00BA7DBA"/>
    <w:rsid w:val="00BB03D0"/>
    <w:rsid w:val="00BB044E"/>
    <w:rsid w:val="00BB0DBC"/>
    <w:rsid w:val="00BB12F6"/>
    <w:rsid w:val="00BB1BCB"/>
    <w:rsid w:val="00BB1D87"/>
    <w:rsid w:val="00BB1F4F"/>
    <w:rsid w:val="00BB29DC"/>
    <w:rsid w:val="00BB2BDD"/>
    <w:rsid w:val="00BB3065"/>
    <w:rsid w:val="00BB382C"/>
    <w:rsid w:val="00BB389A"/>
    <w:rsid w:val="00BB464C"/>
    <w:rsid w:val="00BB4DCB"/>
    <w:rsid w:val="00BB4F81"/>
    <w:rsid w:val="00BB508D"/>
    <w:rsid w:val="00BB510F"/>
    <w:rsid w:val="00BB555D"/>
    <w:rsid w:val="00BB56D5"/>
    <w:rsid w:val="00BB5B56"/>
    <w:rsid w:val="00BB61BD"/>
    <w:rsid w:val="00BB65A2"/>
    <w:rsid w:val="00BB68DA"/>
    <w:rsid w:val="00BB7112"/>
    <w:rsid w:val="00BB76B1"/>
    <w:rsid w:val="00BC0A19"/>
    <w:rsid w:val="00BC0AF1"/>
    <w:rsid w:val="00BC0E4C"/>
    <w:rsid w:val="00BC0EFB"/>
    <w:rsid w:val="00BC10C0"/>
    <w:rsid w:val="00BC1216"/>
    <w:rsid w:val="00BC1442"/>
    <w:rsid w:val="00BC174F"/>
    <w:rsid w:val="00BC1848"/>
    <w:rsid w:val="00BC18BF"/>
    <w:rsid w:val="00BC1BDA"/>
    <w:rsid w:val="00BC239A"/>
    <w:rsid w:val="00BC247E"/>
    <w:rsid w:val="00BC2614"/>
    <w:rsid w:val="00BC272B"/>
    <w:rsid w:val="00BC29A6"/>
    <w:rsid w:val="00BC2A1B"/>
    <w:rsid w:val="00BC2F2C"/>
    <w:rsid w:val="00BC30EC"/>
    <w:rsid w:val="00BC35E6"/>
    <w:rsid w:val="00BC3609"/>
    <w:rsid w:val="00BC3E83"/>
    <w:rsid w:val="00BC43D4"/>
    <w:rsid w:val="00BC469B"/>
    <w:rsid w:val="00BC505A"/>
    <w:rsid w:val="00BC53A9"/>
    <w:rsid w:val="00BC5C94"/>
    <w:rsid w:val="00BC66B9"/>
    <w:rsid w:val="00BC6B86"/>
    <w:rsid w:val="00BC768E"/>
    <w:rsid w:val="00BC7712"/>
    <w:rsid w:val="00BC7A19"/>
    <w:rsid w:val="00BC7D28"/>
    <w:rsid w:val="00BC7E62"/>
    <w:rsid w:val="00BC7F94"/>
    <w:rsid w:val="00BD013E"/>
    <w:rsid w:val="00BD07F2"/>
    <w:rsid w:val="00BD0A35"/>
    <w:rsid w:val="00BD0FE4"/>
    <w:rsid w:val="00BD1AB0"/>
    <w:rsid w:val="00BD1ABC"/>
    <w:rsid w:val="00BD1C8D"/>
    <w:rsid w:val="00BD3124"/>
    <w:rsid w:val="00BD31A4"/>
    <w:rsid w:val="00BD34BA"/>
    <w:rsid w:val="00BD36AB"/>
    <w:rsid w:val="00BD3B12"/>
    <w:rsid w:val="00BD3C5A"/>
    <w:rsid w:val="00BD3ED6"/>
    <w:rsid w:val="00BD40A8"/>
    <w:rsid w:val="00BD41FC"/>
    <w:rsid w:val="00BD4447"/>
    <w:rsid w:val="00BD47E9"/>
    <w:rsid w:val="00BD4830"/>
    <w:rsid w:val="00BD4C2E"/>
    <w:rsid w:val="00BD4C52"/>
    <w:rsid w:val="00BD4F11"/>
    <w:rsid w:val="00BD5420"/>
    <w:rsid w:val="00BD5BB8"/>
    <w:rsid w:val="00BD5D46"/>
    <w:rsid w:val="00BD5D9E"/>
    <w:rsid w:val="00BD5DC7"/>
    <w:rsid w:val="00BD5DE1"/>
    <w:rsid w:val="00BD5E33"/>
    <w:rsid w:val="00BD5FF9"/>
    <w:rsid w:val="00BD601A"/>
    <w:rsid w:val="00BD6022"/>
    <w:rsid w:val="00BD64FB"/>
    <w:rsid w:val="00BD66E2"/>
    <w:rsid w:val="00BD684E"/>
    <w:rsid w:val="00BD6C59"/>
    <w:rsid w:val="00BD728F"/>
    <w:rsid w:val="00BD74E3"/>
    <w:rsid w:val="00BD7872"/>
    <w:rsid w:val="00BD7950"/>
    <w:rsid w:val="00BD7B68"/>
    <w:rsid w:val="00BE04AC"/>
    <w:rsid w:val="00BE0BBE"/>
    <w:rsid w:val="00BE0BD5"/>
    <w:rsid w:val="00BE10F8"/>
    <w:rsid w:val="00BE172E"/>
    <w:rsid w:val="00BE175E"/>
    <w:rsid w:val="00BE224E"/>
    <w:rsid w:val="00BE27A8"/>
    <w:rsid w:val="00BE2F03"/>
    <w:rsid w:val="00BE32CC"/>
    <w:rsid w:val="00BE34EF"/>
    <w:rsid w:val="00BE3FD6"/>
    <w:rsid w:val="00BE40C0"/>
    <w:rsid w:val="00BE5A16"/>
    <w:rsid w:val="00BE5D8D"/>
    <w:rsid w:val="00BE5D8E"/>
    <w:rsid w:val="00BE5E8C"/>
    <w:rsid w:val="00BE5F52"/>
    <w:rsid w:val="00BE68BA"/>
    <w:rsid w:val="00BE6980"/>
    <w:rsid w:val="00BE6BFB"/>
    <w:rsid w:val="00BE6D24"/>
    <w:rsid w:val="00BE6FBA"/>
    <w:rsid w:val="00BE73BD"/>
    <w:rsid w:val="00BF0466"/>
    <w:rsid w:val="00BF04D6"/>
    <w:rsid w:val="00BF0674"/>
    <w:rsid w:val="00BF06DE"/>
    <w:rsid w:val="00BF0705"/>
    <w:rsid w:val="00BF089F"/>
    <w:rsid w:val="00BF0961"/>
    <w:rsid w:val="00BF0DDB"/>
    <w:rsid w:val="00BF1509"/>
    <w:rsid w:val="00BF20AC"/>
    <w:rsid w:val="00BF20FF"/>
    <w:rsid w:val="00BF22B3"/>
    <w:rsid w:val="00BF2364"/>
    <w:rsid w:val="00BF26E0"/>
    <w:rsid w:val="00BF2711"/>
    <w:rsid w:val="00BF28A5"/>
    <w:rsid w:val="00BF314F"/>
    <w:rsid w:val="00BF358D"/>
    <w:rsid w:val="00BF3BB1"/>
    <w:rsid w:val="00BF3C0F"/>
    <w:rsid w:val="00BF3C7D"/>
    <w:rsid w:val="00BF3EE8"/>
    <w:rsid w:val="00BF3FF4"/>
    <w:rsid w:val="00BF4242"/>
    <w:rsid w:val="00BF479B"/>
    <w:rsid w:val="00BF4956"/>
    <w:rsid w:val="00BF4A3F"/>
    <w:rsid w:val="00BF4AE4"/>
    <w:rsid w:val="00BF4CEF"/>
    <w:rsid w:val="00BF50A6"/>
    <w:rsid w:val="00BF511E"/>
    <w:rsid w:val="00BF5977"/>
    <w:rsid w:val="00BF6EBD"/>
    <w:rsid w:val="00BF6FC1"/>
    <w:rsid w:val="00BF70FD"/>
    <w:rsid w:val="00BF7607"/>
    <w:rsid w:val="00BF76AE"/>
    <w:rsid w:val="00BF7F6D"/>
    <w:rsid w:val="00C00383"/>
    <w:rsid w:val="00C00DD6"/>
    <w:rsid w:val="00C00F67"/>
    <w:rsid w:val="00C010FF"/>
    <w:rsid w:val="00C012A3"/>
    <w:rsid w:val="00C01AEC"/>
    <w:rsid w:val="00C01BB6"/>
    <w:rsid w:val="00C01BEB"/>
    <w:rsid w:val="00C01D65"/>
    <w:rsid w:val="00C01EA9"/>
    <w:rsid w:val="00C02259"/>
    <w:rsid w:val="00C024A3"/>
    <w:rsid w:val="00C0251E"/>
    <w:rsid w:val="00C032FC"/>
    <w:rsid w:val="00C03DFF"/>
    <w:rsid w:val="00C03E8B"/>
    <w:rsid w:val="00C045B3"/>
    <w:rsid w:val="00C048D4"/>
    <w:rsid w:val="00C048EB"/>
    <w:rsid w:val="00C04B29"/>
    <w:rsid w:val="00C05069"/>
    <w:rsid w:val="00C052AE"/>
    <w:rsid w:val="00C057F0"/>
    <w:rsid w:val="00C05F6C"/>
    <w:rsid w:val="00C06ACE"/>
    <w:rsid w:val="00C06E25"/>
    <w:rsid w:val="00C06F6E"/>
    <w:rsid w:val="00C07162"/>
    <w:rsid w:val="00C07290"/>
    <w:rsid w:val="00C0737D"/>
    <w:rsid w:val="00C07890"/>
    <w:rsid w:val="00C103BD"/>
    <w:rsid w:val="00C109FB"/>
    <w:rsid w:val="00C10CD1"/>
    <w:rsid w:val="00C10DBF"/>
    <w:rsid w:val="00C10F47"/>
    <w:rsid w:val="00C117FA"/>
    <w:rsid w:val="00C11962"/>
    <w:rsid w:val="00C11CC4"/>
    <w:rsid w:val="00C12018"/>
    <w:rsid w:val="00C120B4"/>
    <w:rsid w:val="00C12B84"/>
    <w:rsid w:val="00C13005"/>
    <w:rsid w:val="00C1303D"/>
    <w:rsid w:val="00C1351C"/>
    <w:rsid w:val="00C135C3"/>
    <w:rsid w:val="00C136CB"/>
    <w:rsid w:val="00C13F57"/>
    <w:rsid w:val="00C14C55"/>
    <w:rsid w:val="00C14CC2"/>
    <w:rsid w:val="00C15576"/>
    <w:rsid w:val="00C15889"/>
    <w:rsid w:val="00C15976"/>
    <w:rsid w:val="00C15B85"/>
    <w:rsid w:val="00C165F2"/>
    <w:rsid w:val="00C16949"/>
    <w:rsid w:val="00C170F3"/>
    <w:rsid w:val="00C171AC"/>
    <w:rsid w:val="00C17592"/>
    <w:rsid w:val="00C1769D"/>
    <w:rsid w:val="00C17954"/>
    <w:rsid w:val="00C17992"/>
    <w:rsid w:val="00C17A00"/>
    <w:rsid w:val="00C204CC"/>
    <w:rsid w:val="00C20B59"/>
    <w:rsid w:val="00C20BDA"/>
    <w:rsid w:val="00C20D45"/>
    <w:rsid w:val="00C20FD2"/>
    <w:rsid w:val="00C212DC"/>
    <w:rsid w:val="00C21675"/>
    <w:rsid w:val="00C2173C"/>
    <w:rsid w:val="00C218CA"/>
    <w:rsid w:val="00C2193E"/>
    <w:rsid w:val="00C219AF"/>
    <w:rsid w:val="00C21D75"/>
    <w:rsid w:val="00C220F0"/>
    <w:rsid w:val="00C22106"/>
    <w:rsid w:val="00C223F3"/>
    <w:rsid w:val="00C22601"/>
    <w:rsid w:val="00C22D1D"/>
    <w:rsid w:val="00C236F3"/>
    <w:rsid w:val="00C23AE6"/>
    <w:rsid w:val="00C24069"/>
    <w:rsid w:val="00C24198"/>
    <w:rsid w:val="00C24445"/>
    <w:rsid w:val="00C245D4"/>
    <w:rsid w:val="00C2485A"/>
    <w:rsid w:val="00C24976"/>
    <w:rsid w:val="00C24977"/>
    <w:rsid w:val="00C24B0F"/>
    <w:rsid w:val="00C24DF3"/>
    <w:rsid w:val="00C2510D"/>
    <w:rsid w:val="00C2532F"/>
    <w:rsid w:val="00C25CA2"/>
    <w:rsid w:val="00C25D3C"/>
    <w:rsid w:val="00C25DDC"/>
    <w:rsid w:val="00C26C31"/>
    <w:rsid w:val="00C26F40"/>
    <w:rsid w:val="00C27EC0"/>
    <w:rsid w:val="00C27FB3"/>
    <w:rsid w:val="00C303F2"/>
    <w:rsid w:val="00C30556"/>
    <w:rsid w:val="00C30B3D"/>
    <w:rsid w:val="00C30D18"/>
    <w:rsid w:val="00C31135"/>
    <w:rsid w:val="00C31330"/>
    <w:rsid w:val="00C31A19"/>
    <w:rsid w:val="00C31C04"/>
    <w:rsid w:val="00C32524"/>
    <w:rsid w:val="00C330AD"/>
    <w:rsid w:val="00C334C6"/>
    <w:rsid w:val="00C33500"/>
    <w:rsid w:val="00C336F3"/>
    <w:rsid w:val="00C336F9"/>
    <w:rsid w:val="00C33D31"/>
    <w:rsid w:val="00C34018"/>
    <w:rsid w:val="00C34062"/>
    <w:rsid w:val="00C345E3"/>
    <w:rsid w:val="00C34693"/>
    <w:rsid w:val="00C349C2"/>
    <w:rsid w:val="00C34A91"/>
    <w:rsid w:val="00C34F0C"/>
    <w:rsid w:val="00C3507A"/>
    <w:rsid w:val="00C3528B"/>
    <w:rsid w:val="00C35411"/>
    <w:rsid w:val="00C35444"/>
    <w:rsid w:val="00C35478"/>
    <w:rsid w:val="00C356C4"/>
    <w:rsid w:val="00C35DDC"/>
    <w:rsid w:val="00C36481"/>
    <w:rsid w:val="00C36A2E"/>
    <w:rsid w:val="00C36DEB"/>
    <w:rsid w:val="00C37195"/>
    <w:rsid w:val="00C374EB"/>
    <w:rsid w:val="00C376C8"/>
    <w:rsid w:val="00C3780B"/>
    <w:rsid w:val="00C378F3"/>
    <w:rsid w:val="00C37C00"/>
    <w:rsid w:val="00C400E2"/>
    <w:rsid w:val="00C4032D"/>
    <w:rsid w:val="00C403C0"/>
    <w:rsid w:val="00C4073B"/>
    <w:rsid w:val="00C415DD"/>
    <w:rsid w:val="00C419BB"/>
    <w:rsid w:val="00C41BBF"/>
    <w:rsid w:val="00C41CA1"/>
    <w:rsid w:val="00C4244E"/>
    <w:rsid w:val="00C42E83"/>
    <w:rsid w:val="00C433D0"/>
    <w:rsid w:val="00C43431"/>
    <w:rsid w:val="00C43F4E"/>
    <w:rsid w:val="00C440E7"/>
    <w:rsid w:val="00C44327"/>
    <w:rsid w:val="00C4463A"/>
    <w:rsid w:val="00C447FC"/>
    <w:rsid w:val="00C449E5"/>
    <w:rsid w:val="00C44B06"/>
    <w:rsid w:val="00C44BF8"/>
    <w:rsid w:val="00C44FE1"/>
    <w:rsid w:val="00C4520C"/>
    <w:rsid w:val="00C45268"/>
    <w:rsid w:val="00C45473"/>
    <w:rsid w:val="00C45859"/>
    <w:rsid w:val="00C45E21"/>
    <w:rsid w:val="00C460C2"/>
    <w:rsid w:val="00C468E8"/>
    <w:rsid w:val="00C46A3F"/>
    <w:rsid w:val="00C46A77"/>
    <w:rsid w:val="00C46CF2"/>
    <w:rsid w:val="00C47014"/>
    <w:rsid w:val="00C474EE"/>
    <w:rsid w:val="00C47986"/>
    <w:rsid w:val="00C5007D"/>
    <w:rsid w:val="00C503CA"/>
    <w:rsid w:val="00C50733"/>
    <w:rsid w:val="00C509AD"/>
    <w:rsid w:val="00C50C04"/>
    <w:rsid w:val="00C50EC8"/>
    <w:rsid w:val="00C51028"/>
    <w:rsid w:val="00C51240"/>
    <w:rsid w:val="00C51D8E"/>
    <w:rsid w:val="00C51DB8"/>
    <w:rsid w:val="00C52886"/>
    <w:rsid w:val="00C52987"/>
    <w:rsid w:val="00C529C3"/>
    <w:rsid w:val="00C52CE5"/>
    <w:rsid w:val="00C536D2"/>
    <w:rsid w:val="00C53AFC"/>
    <w:rsid w:val="00C53D8A"/>
    <w:rsid w:val="00C545F4"/>
    <w:rsid w:val="00C54C6C"/>
    <w:rsid w:val="00C54E5D"/>
    <w:rsid w:val="00C5524E"/>
    <w:rsid w:val="00C55579"/>
    <w:rsid w:val="00C559A7"/>
    <w:rsid w:val="00C55E5F"/>
    <w:rsid w:val="00C5626B"/>
    <w:rsid w:val="00C60801"/>
    <w:rsid w:val="00C62069"/>
    <w:rsid w:val="00C6220F"/>
    <w:rsid w:val="00C6288C"/>
    <w:rsid w:val="00C628FD"/>
    <w:rsid w:val="00C62B03"/>
    <w:rsid w:val="00C633C4"/>
    <w:rsid w:val="00C63473"/>
    <w:rsid w:val="00C635E5"/>
    <w:rsid w:val="00C63713"/>
    <w:rsid w:val="00C639D0"/>
    <w:rsid w:val="00C63E03"/>
    <w:rsid w:val="00C63F79"/>
    <w:rsid w:val="00C6470F"/>
    <w:rsid w:val="00C64907"/>
    <w:rsid w:val="00C64AEB"/>
    <w:rsid w:val="00C65518"/>
    <w:rsid w:val="00C65758"/>
    <w:rsid w:val="00C65A46"/>
    <w:rsid w:val="00C65F93"/>
    <w:rsid w:val="00C66108"/>
    <w:rsid w:val="00C66177"/>
    <w:rsid w:val="00C66565"/>
    <w:rsid w:val="00C669FE"/>
    <w:rsid w:val="00C66D20"/>
    <w:rsid w:val="00C66FEF"/>
    <w:rsid w:val="00C67683"/>
    <w:rsid w:val="00C67741"/>
    <w:rsid w:val="00C67E18"/>
    <w:rsid w:val="00C67EBC"/>
    <w:rsid w:val="00C67FAA"/>
    <w:rsid w:val="00C70060"/>
    <w:rsid w:val="00C70831"/>
    <w:rsid w:val="00C70AEE"/>
    <w:rsid w:val="00C71601"/>
    <w:rsid w:val="00C71670"/>
    <w:rsid w:val="00C716DB"/>
    <w:rsid w:val="00C71962"/>
    <w:rsid w:val="00C729B1"/>
    <w:rsid w:val="00C72A98"/>
    <w:rsid w:val="00C72E5A"/>
    <w:rsid w:val="00C7367F"/>
    <w:rsid w:val="00C74B4A"/>
    <w:rsid w:val="00C74C52"/>
    <w:rsid w:val="00C7507A"/>
    <w:rsid w:val="00C751B7"/>
    <w:rsid w:val="00C75380"/>
    <w:rsid w:val="00C758A3"/>
    <w:rsid w:val="00C75CA5"/>
    <w:rsid w:val="00C75CCD"/>
    <w:rsid w:val="00C75CD1"/>
    <w:rsid w:val="00C76251"/>
    <w:rsid w:val="00C76309"/>
    <w:rsid w:val="00C7726C"/>
    <w:rsid w:val="00C77AAE"/>
    <w:rsid w:val="00C77AFF"/>
    <w:rsid w:val="00C77E9D"/>
    <w:rsid w:val="00C80472"/>
    <w:rsid w:val="00C80D35"/>
    <w:rsid w:val="00C81057"/>
    <w:rsid w:val="00C81514"/>
    <w:rsid w:val="00C82941"/>
    <w:rsid w:val="00C83C63"/>
    <w:rsid w:val="00C842B5"/>
    <w:rsid w:val="00C843C1"/>
    <w:rsid w:val="00C84840"/>
    <w:rsid w:val="00C8518D"/>
    <w:rsid w:val="00C852E0"/>
    <w:rsid w:val="00C85984"/>
    <w:rsid w:val="00C85A04"/>
    <w:rsid w:val="00C85A92"/>
    <w:rsid w:val="00C85BBA"/>
    <w:rsid w:val="00C85D72"/>
    <w:rsid w:val="00C87134"/>
    <w:rsid w:val="00C8760A"/>
    <w:rsid w:val="00C877C3"/>
    <w:rsid w:val="00C87D8E"/>
    <w:rsid w:val="00C87FD2"/>
    <w:rsid w:val="00C90453"/>
    <w:rsid w:val="00C9072C"/>
    <w:rsid w:val="00C90AD0"/>
    <w:rsid w:val="00C91249"/>
    <w:rsid w:val="00C915C1"/>
    <w:rsid w:val="00C91BE1"/>
    <w:rsid w:val="00C921E2"/>
    <w:rsid w:val="00C923F8"/>
    <w:rsid w:val="00C92EF1"/>
    <w:rsid w:val="00C93185"/>
    <w:rsid w:val="00C9365D"/>
    <w:rsid w:val="00C93BF8"/>
    <w:rsid w:val="00C93E70"/>
    <w:rsid w:val="00C94295"/>
    <w:rsid w:val="00C949A0"/>
    <w:rsid w:val="00C94C93"/>
    <w:rsid w:val="00C94E83"/>
    <w:rsid w:val="00C9512F"/>
    <w:rsid w:val="00C953AF"/>
    <w:rsid w:val="00C9583F"/>
    <w:rsid w:val="00C95948"/>
    <w:rsid w:val="00C95F75"/>
    <w:rsid w:val="00C96141"/>
    <w:rsid w:val="00C963D5"/>
    <w:rsid w:val="00C9644E"/>
    <w:rsid w:val="00C9660A"/>
    <w:rsid w:val="00C9783B"/>
    <w:rsid w:val="00CA0078"/>
    <w:rsid w:val="00CA0392"/>
    <w:rsid w:val="00CA1237"/>
    <w:rsid w:val="00CA17EA"/>
    <w:rsid w:val="00CA1844"/>
    <w:rsid w:val="00CA1DE0"/>
    <w:rsid w:val="00CA2113"/>
    <w:rsid w:val="00CA22C0"/>
    <w:rsid w:val="00CA2A31"/>
    <w:rsid w:val="00CA2FBC"/>
    <w:rsid w:val="00CA34E7"/>
    <w:rsid w:val="00CA3517"/>
    <w:rsid w:val="00CA3AD9"/>
    <w:rsid w:val="00CA3CBE"/>
    <w:rsid w:val="00CA3DA5"/>
    <w:rsid w:val="00CA4B10"/>
    <w:rsid w:val="00CA4CB7"/>
    <w:rsid w:val="00CA4DAC"/>
    <w:rsid w:val="00CA59D0"/>
    <w:rsid w:val="00CA65CF"/>
    <w:rsid w:val="00CA6A4E"/>
    <w:rsid w:val="00CA6A5F"/>
    <w:rsid w:val="00CA6B11"/>
    <w:rsid w:val="00CA7135"/>
    <w:rsid w:val="00CA71DD"/>
    <w:rsid w:val="00CA7472"/>
    <w:rsid w:val="00CA799D"/>
    <w:rsid w:val="00CB0027"/>
    <w:rsid w:val="00CB0996"/>
    <w:rsid w:val="00CB09C6"/>
    <w:rsid w:val="00CB0B3B"/>
    <w:rsid w:val="00CB0D79"/>
    <w:rsid w:val="00CB12DB"/>
    <w:rsid w:val="00CB1A27"/>
    <w:rsid w:val="00CB216E"/>
    <w:rsid w:val="00CB21DD"/>
    <w:rsid w:val="00CB228B"/>
    <w:rsid w:val="00CB29A2"/>
    <w:rsid w:val="00CB313B"/>
    <w:rsid w:val="00CB31F1"/>
    <w:rsid w:val="00CB3514"/>
    <w:rsid w:val="00CB359B"/>
    <w:rsid w:val="00CB3657"/>
    <w:rsid w:val="00CB36D5"/>
    <w:rsid w:val="00CB3DCD"/>
    <w:rsid w:val="00CB4320"/>
    <w:rsid w:val="00CB45F8"/>
    <w:rsid w:val="00CB4681"/>
    <w:rsid w:val="00CB4BCD"/>
    <w:rsid w:val="00CB508E"/>
    <w:rsid w:val="00CB52E5"/>
    <w:rsid w:val="00CB52EE"/>
    <w:rsid w:val="00CB54C5"/>
    <w:rsid w:val="00CB5AD8"/>
    <w:rsid w:val="00CB5CF8"/>
    <w:rsid w:val="00CB5DBB"/>
    <w:rsid w:val="00CB6127"/>
    <w:rsid w:val="00CB62E4"/>
    <w:rsid w:val="00CB6510"/>
    <w:rsid w:val="00CB6788"/>
    <w:rsid w:val="00CB6840"/>
    <w:rsid w:val="00CB688D"/>
    <w:rsid w:val="00CB6A56"/>
    <w:rsid w:val="00CB6B1E"/>
    <w:rsid w:val="00CB6B34"/>
    <w:rsid w:val="00CB6BF4"/>
    <w:rsid w:val="00CB6D81"/>
    <w:rsid w:val="00CB6E0A"/>
    <w:rsid w:val="00CB6FAB"/>
    <w:rsid w:val="00CB7388"/>
    <w:rsid w:val="00CB77E5"/>
    <w:rsid w:val="00CB7939"/>
    <w:rsid w:val="00CB7968"/>
    <w:rsid w:val="00CC0C65"/>
    <w:rsid w:val="00CC12C3"/>
    <w:rsid w:val="00CC199B"/>
    <w:rsid w:val="00CC19F0"/>
    <w:rsid w:val="00CC1A05"/>
    <w:rsid w:val="00CC1B4B"/>
    <w:rsid w:val="00CC20BC"/>
    <w:rsid w:val="00CC20D6"/>
    <w:rsid w:val="00CC2192"/>
    <w:rsid w:val="00CC2AA1"/>
    <w:rsid w:val="00CC2C2A"/>
    <w:rsid w:val="00CC35FB"/>
    <w:rsid w:val="00CC3BEB"/>
    <w:rsid w:val="00CC422A"/>
    <w:rsid w:val="00CC4316"/>
    <w:rsid w:val="00CC4519"/>
    <w:rsid w:val="00CC4AA5"/>
    <w:rsid w:val="00CC5027"/>
    <w:rsid w:val="00CC63F5"/>
    <w:rsid w:val="00CC6BF2"/>
    <w:rsid w:val="00CC6E4F"/>
    <w:rsid w:val="00CC710F"/>
    <w:rsid w:val="00CC71C4"/>
    <w:rsid w:val="00CC7332"/>
    <w:rsid w:val="00CC7476"/>
    <w:rsid w:val="00CC748C"/>
    <w:rsid w:val="00CD00D6"/>
    <w:rsid w:val="00CD01B1"/>
    <w:rsid w:val="00CD0943"/>
    <w:rsid w:val="00CD0966"/>
    <w:rsid w:val="00CD0AB2"/>
    <w:rsid w:val="00CD0CAD"/>
    <w:rsid w:val="00CD109F"/>
    <w:rsid w:val="00CD1836"/>
    <w:rsid w:val="00CD18C7"/>
    <w:rsid w:val="00CD19CB"/>
    <w:rsid w:val="00CD1CBD"/>
    <w:rsid w:val="00CD1E3F"/>
    <w:rsid w:val="00CD1E78"/>
    <w:rsid w:val="00CD2156"/>
    <w:rsid w:val="00CD253D"/>
    <w:rsid w:val="00CD27A5"/>
    <w:rsid w:val="00CD281E"/>
    <w:rsid w:val="00CD2D02"/>
    <w:rsid w:val="00CD2F52"/>
    <w:rsid w:val="00CD34DB"/>
    <w:rsid w:val="00CD3940"/>
    <w:rsid w:val="00CD3A75"/>
    <w:rsid w:val="00CD3AB5"/>
    <w:rsid w:val="00CD3C91"/>
    <w:rsid w:val="00CD3D12"/>
    <w:rsid w:val="00CD40C8"/>
    <w:rsid w:val="00CD42CA"/>
    <w:rsid w:val="00CD4367"/>
    <w:rsid w:val="00CD510D"/>
    <w:rsid w:val="00CD5ABF"/>
    <w:rsid w:val="00CD5B41"/>
    <w:rsid w:val="00CD640A"/>
    <w:rsid w:val="00CD6A6D"/>
    <w:rsid w:val="00CD72BE"/>
    <w:rsid w:val="00CD72EE"/>
    <w:rsid w:val="00CE01B2"/>
    <w:rsid w:val="00CE0362"/>
    <w:rsid w:val="00CE03BD"/>
    <w:rsid w:val="00CE03D1"/>
    <w:rsid w:val="00CE06AB"/>
    <w:rsid w:val="00CE0EC0"/>
    <w:rsid w:val="00CE128C"/>
    <w:rsid w:val="00CE133E"/>
    <w:rsid w:val="00CE1D73"/>
    <w:rsid w:val="00CE209C"/>
    <w:rsid w:val="00CE25C8"/>
    <w:rsid w:val="00CE2735"/>
    <w:rsid w:val="00CE2830"/>
    <w:rsid w:val="00CE285E"/>
    <w:rsid w:val="00CE3794"/>
    <w:rsid w:val="00CE37E4"/>
    <w:rsid w:val="00CE3AE8"/>
    <w:rsid w:val="00CE3F73"/>
    <w:rsid w:val="00CE3F99"/>
    <w:rsid w:val="00CE41E0"/>
    <w:rsid w:val="00CE45DA"/>
    <w:rsid w:val="00CE485C"/>
    <w:rsid w:val="00CE4BCB"/>
    <w:rsid w:val="00CE4CF2"/>
    <w:rsid w:val="00CE5A87"/>
    <w:rsid w:val="00CE5C55"/>
    <w:rsid w:val="00CE5DE9"/>
    <w:rsid w:val="00CE5EA4"/>
    <w:rsid w:val="00CE5FDE"/>
    <w:rsid w:val="00CE64DC"/>
    <w:rsid w:val="00CE66BB"/>
    <w:rsid w:val="00CE6CA7"/>
    <w:rsid w:val="00CE70CA"/>
    <w:rsid w:val="00CE74CE"/>
    <w:rsid w:val="00CE74FF"/>
    <w:rsid w:val="00CE7552"/>
    <w:rsid w:val="00CE77D0"/>
    <w:rsid w:val="00CE7E69"/>
    <w:rsid w:val="00CF035E"/>
    <w:rsid w:val="00CF0485"/>
    <w:rsid w:val="00CF049A"/>
    <w:rsid w:val="00CF068E"/>
    <w:rsid w:val="00CF0CFA"/>
    <w:rsid w:val="00CF0EFE"/>
    <w:rsid w:val="00CF1BC7"/>
    <w:rsid w:val="00CF1DB9"/>
    <w:rsid w:val="00CF2D1D"/>
    <w:rsid w:val="00CF32D8"/>
    <w:rsid w:val="00CF3BF3"/>
    <w:rsid w:val="00CF4019"/>
    <w:rsid w:val="00CF4627"/>
    <w:rsid w:val="00CF4B4D"/>
    <w:rsid w:val="00CF4C7A"/>
    <w:rsid w:val="00CF4E5C"/>
    <w:rsid w:val="00CF50AE"/>
    <w:rsid w:val="00CF5150"/>
    <w:rsid w:val="00CF516F"/>
    <w:rsid w:val="00CF5364"/>
    <w:rsid w:val="00CF57B1"/>
    <w:rsid w:val="00CF58AC"/>
    <w:rsid w:val="00CF603E"/>
    <w:rsid w:val="00CF628F"/>
    <w:rsid w:val="00CF66F4"/>
    <w:rsid w:val="00CF69E1"/>
    <w:rsid w:val="00CF7481"/>
    <w:rsid w:val="00CF77FB"/>
    <w:rsid w:val="00CF7E75"/>
    <w:rsid w:val="00D00592"/>
    <w:rsid w:val="00D00850"/>
    <w:rsid w:val="00D00D16"/>
    <w:rsid w:val="00D010DF"/>
    <w:rsid w:val="00D01100"/>
    <w:rsid w:val="00D0124A"/>
    <w:rsid w:val="00D0134C"/>
    <w:rsid w:val="00D01610"/>
    <w:rsid w:val="00D01FDA"/>
    <w:rsid w:val="00D02059"/>
    <w:rsid w:val="00D021FE"/>
    <w:rsid w:val="00D02237"/>
    <w:rsid w:val="00D02559"/>
    <w:rsid w:val="00D02B0D"/>
    <w:rsid w:val="00D044F1"/>
    <w:rsid w:val="00D04758"/>
    <w:rsid w:val="00D04802"/>
    <w:rsid w:val="00D05120"/>
    <w:rsid w:val="00D05194"/>
    <w:rsid w:val="00D051D7"/>
    <w:rsid w:val="00D0569B"/>
    <w:rsid w:val="00D05782"/>
    <w:rsid w:val="00D06420"/>
    <w:rsid w:val="00D073E7"/>
    <w:rsid w:val="00D0749D"/>
    <w:rsid w:val="00D07A39"/>
    <w:rsid w:val="00D07FAD"/>
    <w:rsid w:val="00D100A1"/>
    <w:rsid w:val="00D1015E"/>
    <w:rsid w:val="00D10228"/>
    <w:rsid w:val="00D1062B"/>
    <w:rsid w:val="00D108FF"/>
    <w:rsid w:val="00D11E52"/>
    <w:rsid w:val="00D1201A"/>
    <w:rsid w:val="00D1232D"/>
    <w:rsid w:val="00D12A64"/>
    <w:rsid w:val="00D13229"/>
    <w:rsid w:val="00D135A9"/>
    <w:rsid w:val="00D13FFA"/>
    <w:rsid w:val="00D14257"/>
    <w:rsid w:val="00D143E5"/>
    <w:rsid w:val="00D14C89"/>
    <w:rsid w:val="00D1524D"/>
    <w:rsid w:val="00D15D73"/>
    <w:rsid w:val="00D15E44"/>
    <w:rsid w:val="00D16083"/>
    <w:rsid w:val="00D165C6"/>
    <w:rsid w:val="00D167A6"/>
    <w:rsid w:val="00D16A4F"/>
    <w:rsid w:val="00D16AA7"/>
    <w:rsid w:val="00D16C6F"/>
    <w:rsid w:val="00D170DF"/>
    <w:rsid w:val="00D177F1"/>
    <w:rsid w:val="00D1786D"/>
    <w:rsid w:val="00D178B7"/>
    <w:rsid w:val="00D17AD5"/>
    <w:rsid w:val="00D201F5"/>
    <w:rsid w:val="00D204DD"/>
    <w:rsid w:val="00D20632"/>
    <w:rsid w:val="00D20A71"/>
    <w:rsid w:val="00D21199"/>
    <w:rsid w:val="00D21B3E"/>
    <w:rsid w:val="00D21BD1"/>
    <w:rsid w:val="00D21F2F"/>
    <w:rsid w:val="00D2238E"/>
    <w:rsid w:val="00D2249D"/>
    <w:rsid w:val="00D22816"/>
    <w:rsid w:val="00D2299E"/>
    <w:rsid w:val="00D229C3"/>
    <w:rsid w:val="00D22AD5"/>
    <w:rsid w:val="00D22CAE"/>
    <w:rsid w:val="00D23138"/>
    <w:rsid w:val="00D232C8"/>
    <w:rsid w:val="00D238D7"/>
    <w:rsid w:val="00D23BCC"/>
    <w:rsid w:val="00D23D2D"/>
    <w:rsid w:val="00D244DC"/>
    <w:rsid w:val="00D24C97"/>
    <w:rsid w:val="00D25051"/>
    <w:rsid w:val="00D25393"/>
    <w:rsid w:val="00D255F2"/>
    <w:rsid w:val="00D25690"/>
    <w:rsid w:val="00D2569A"/>
    <w:rsid w:val="00D259E5"/>
    <w:rsid w:val="00D26422"/>
    <w:rsid w:val="00D267C9"/>
    <w:rsid w:val="00D26A25"/>
    <w:rsid w:val="00D26D62"/>
    <w:rsid w:val="00D26DAF"/>
    <w:rsid w:val="00D2713C"/>
    <w:rsid w:val="00D271B7"/>
    <w:rsid w:val="00D2744B"/>
    <w:rsid w:val="00D27614"/>
    <w:rsid w:val="00D27AA1"/>
    <w:rsid w:val="00D27BCD"/>
    <w:rsid w:val="00D30737"/>
    <w:rsid w:val="00D30751"/>
    <w:rsid w:val="00D30754"/>
    <w:rsid w:val="00D31007"/>
    <w:rsid w:val="00D310E3"/>
    <w:rsid w:val="00D3150A"/>
    <w:rsid w:val="00D31840"/>
    <w:rsid w:val="00D31FA1"/>
    <w:rsid w:val="00D3216A"/>
    <w:rsid w:val="00D321E2"/>
    <w:rsid w:val="00D323C7"/>
    <w:rsid w:val="00D32B9E"/>
    <w:rsid w:val="00D33041"/>
    <w:rsid w:val="00D330FD"/>
    <w:rsid w:val="00D33330"/>
    <w:rsid w:val="00D336E8"/>
    <w:rsid w:val="00D34119"/>
    <w:rsid w:val="00D34DB7"/>
    <w:rsid w:val="00D34E0D"/>
    <w:rsid w:val="00D34EF3"/>
    <w:rsid w:val="00D353EF"/>
    <w:rsid w:val="00D35446"/>
    <w:rsid w:val="00D36412"/>
    <w:rsid w:val="00D36587"/>
    <w:rsid w:val="00D36AC4"/>
    <w:rsid w:val="00D36D20"/>
    <w:rsid w:val="00D37BEB"/>
    <w:rsid w:val="00D37EDC"/>
    <w:rsid w:val="00D408E3"/>
    <w:rsid w:val="00D40A95"/>
    <w:rsid w:val="00D417AA"/>
    <w:rsid w:val="00D4194E"/>
    <w:rsid w:val="00D41FAE"/>
    <w:rsid w:val="00D4295B"/>
    <w:rsid w:val="00D43080"/>
    <w:rsid w:val="00D432AB"/>
    <w:rsid w:val="00D43461"/>
    <w:rsid w:val="00D4368F"/>
    <w:rsid w:val="00D436B2"/>
    <w:rsid w:val="00D44231"/>
    <w:rsid w:val="00D4450F"/>
    <w:rsid w:val="00D449DE"/>
    <w:rsid w:val="00D44ABE"/>
    <w:rsid w:val="00D44B6C"/>
    <w:rsid w:val="00D4503C"/>
    <w:rsid w:val="00D45041"/>
    <w:rsid w:val="00D4542B"/>
    <w:rsid w:val="00D455BA"/>
    <w:rsid w:val="00D45ACF"/>
    <w:rsid w:val="00D45E50"/>
    <w:rsid w:val="00D45E5C"/>
    <w:rsid w:val="00D45ED2"/>
    <w:rsid w:val="00D461D6"/>
    <w:rsid w:val="00D4634A"/>
    <w:rsid w:val="00D46B16"/>
    <w:rsid w:val="00D46F21"/>
    <w:rsid w:val="00D47240"/>
    <w:rsid w:val="00D47AA7"/>
    <w:rsid w:val="00D47BC6"/>
    <w:rsid w:val="00D47C6D"/>
    <w:rsid w:val="00D47D20"/>
    <w:rsid w:val="00D47D5B"/>
    <w:rsid w:val="00D47DAA"/>
    <w:rsid w:val="00D47FEB"/>
    <w:rsid w:val="00D500E7"/>
    <w:rsid w:val="00D50139"/>
    <w:rsid w:val="00D50825"/>
    <w:rsid w:val="00D50FF6"/>
    <w:rsid w:val="00D516FC"/>
    <w:rsid w:val="00D51807"/>
    <w:rsid w:val="00D518F4"/>
    <w:rsid w:val="00D51F6C"/>
    <w:rsid w:val="00D52EB3"/>
    <w:rsid w:val="00D52FFD"/>
    <w:rsid w:val="00D535D3"/>
    <w:rsid w:val="00D53650"/>
    <w:rsid w:val="00D53FB7"/>
    <w:rsid w:val="00D547A0"/>
    <w:rsid w:val="00D547B6"/>
    <w:rsid w:val="00D54A0B"/>
    <w:rsid w:val="00D54D72"/>
    <w:rsid w:val="00D54DCA"/>
    <w:rsid w:val="00D55285"/>
    <w:rsid w:val="00D55360"/>
    <w:rsid w:val="00D5553F"/>
    <w:rsid w:val="00D55741"/>
    <w:rsid w:val="00D55950"/>
    <w:rsid w:val="00D559D2"/>
    <w:rsid w:val="00D55A50"/>
    <w:rsid w:val="00D55B40"/>
    <w:rsid w:val="00D56409"/>
    <w:rsid w:val="00D566D5"/>
    <w:rsid w:val="00D56C3D"/>
    <w:rsid w:val="00D56DEA"/>
    <w:rsid w:val="00D57C01"/>
    <w:rsid w:val="00D57D2B"/>
    <w:rsid w:val="00D57D6D"/>
    <w:rsid w:val="00D600CD"/>
    <w:rsid w:val="00D60322"/>
    <w:rsid w:val="00D604A1"/>
    <w:rsid w:val="00D606FA"/>
    <w:rsid w:val="00D60851"/>
    <w:rsid w:val="00D60F39"/>
    <w:rsid w:val="00D61652"/>
    <w:rsid w:val="00D621CF"/>
    <w:rsid w:val="00D6267B"/>
    <w:rsid w:val="00D62A33"/>
    <w:rsid w:val="00D62C51"/>
    <w:rsid w:val="00D62DB6"/>
    <w:rsid w:val="00D62E22"/>
    <w:rsid w:val="00D63034"/>
    <w:rsid w:val="00D6317B"/>
    <w:rsid w:val="00D635A4"/>
    <w:rsid w:val="00D639E0"/>
    <w:rsid w:val="00D641D9"/>
    <w:rsid w:val="00D64272"/>
    <w:rsid w:val="00D6466D"/>
    <w:rsid w:val="00D646CD"/>
    <w:rsid w:val="00D650B8"/>
    <w:rsid w:val="00D6562C"/>
    <w:rsid w:val="00D65985"/>
    <w:rsid w:val="00D65E73"/>
    <w:rsid w:val="00D65F00"/>
    <w:rsid w:val="00D65FAD"/>
    <w:rsid w:val="00D66828"/>
    <w:rsid w:val="00D66882"/>
    <w:rsid w:val="00D66933"/>
    <w:rsid w:val="00D66D24"/>
    <w:rsid w:val="00D66F01"/>
    <w:rsid w:val="00D670D6"/>
    <w:rsid w:val="00D7000A"/>
    <w:rsid w:val="00D700B9"/>
    <w:rsid w:val="00D70755"/>
    <w:rsid w:val="00D707C2"/>
    <w:rsid w:val="00D70807"/>
    <w:rsid w:val="00D70DE0"/>
    <w:rsid w:val="00D70F04"/>
    <w:rsid w:val="00D7105B"/>
    <w:rsid w:val="00D71370"/>
    <w:rsid w:val="00D71730"/>
    <w:rsid w:val="00D72339"/>
    <w:rsid w:val="00D72726"/>
    <w:rsid w:val="00D73095"/>
    <w:rsid w:val="00D730CE"/>
    <w:rsid w:val="00D73376"/>
    <w:rsid w:val="00D7353F"/>
    <w:rsid w:val="00D737CF"/>
    <w:rsid w:val="00D73805"/>
    <w:rsid w:val="00D739F2"/>
    <w:rsid w:val="00D73CD5"/>
    <w:rsid w:val="00D73EF8"/>
    <w:rsid w:val="00D74B86"/>
    <w:rsid w:val="00D74C5F"/>
    <w:rsid w:val="00D74DB3"/>
    <w:rsid w:val="00D74E2E"/>
    <w:rsid w:val="00D7520C"/>
    <w:rsid w:val="00D7521B"/>
    <w:rsid w:val="00D7534A"/>
    <w:rsid w:val="00D75B86"/>
    <w:rsid w:val="00D75D02"/>
    <w:rsid w:val="00D75D75"/>
    <w:rsid w:val="00D76AF7"/>
    <w:rsid w:val="00D76E59"/>
    <w:rsid w:val="00D77066"/>
    <w:rsid w:val="00D77947"/>
    <w:rsid w:val="00D77A90"/>
    <w:rsid w:val="00D77EA6"/>
    <w:rsid w:val="00D77FD2"/>
    <w:rsid w:val="00D80021"/>
    <w:rsid w:val="00D80287"/>
    <w:rsid w:val="00D80501"/>
    <w:rsid w:val="00D80DDF"/>
    <w:rsid w:val="00D81547"/>
    <w:rsid w:val="00D8205E"/>
    <w:rsid w:val="00D82331"/>
    <w:rsid w:val="00D82CBD"/>
    <w:rsid w:val="00D82DC6"/>
    <w:rsid w:val="00D82EF7"/>
    <w:rsid w:val="00D830A8"/>
    <w:rsid w:val="00D831B8"/>
    <w:rsid w:val="00D83AC6"/>
    <w:rsid w:val="00D8426C"/>
    <w:rsid w:val="00D84459"/>
    <w:rsid w:val="00D8448B"/>
    <w:rsid w:val="00D84DB8"/>
    <w:rsid w:val="00D84E27"/>
    <w:rsid w:val="00D856F5"/>
    <w:rsid w:val="00D856F8"/>
    <w:rsid w:val="00D858B2"/>
    <w:rsid w:val="00D85EDE"/>
    <w:rsid w:val="00D85FAC"/>
    <w:rsid w:val="00D862CE"/>
    <w:rsid w:val="00D863CF"/>
    <w:rsid w:val="00D86738"/>
    <w:rsid w:val="00D87110"/>
    <w:rsid w:val="00D87359"/>
    <w:rsid w:val="00D87543"/>
    <w:rsid w:val="00D87639"/>
    <w:rsid w:val="00D87FA2"/>
    <w:rsid w:val="00D906C8"/>
    <w:rsid w:val="00D90A04"/>
    <w:rsid w:val="00D911A5"/>
    <w:rsid w:val="00D916C0"/>
    <w:rsid w:val="00D91C74"/>
    <w:rsid w:val="00D92358"/>
    <w:rsid w:val="00D929B7"/>
    <w:rsid w:val="00D92CC1"/>
    <w:rsid w:val="00D92FEA"/>
    <w:rsid w:val="00D94007"/>
    <w:rsid w:val="00D94078"/>
    <w:rsid w:val="00D94187"/>
    <w:rsid w:val="00D943BE"/>
    <w:rsid w:val="00D954A7"/>
    <w:rsid w:val="00D96049"/>
    <w:rsid w:val="00D968AF"/>
    <w:rsid w:val="00D973CB"/>
    <w:rsid w:val="00D97555"/>
    <w:rsid w:val="00D97607"/>
    <w:rsid w:val="00D97C6D"/>
    <w:rsid w:val="00D97FA9"/>
    <w:rsid w:val="00DA039C"/>
    <w:rsid w:val="00DA047B"/>
    <w:rsid w:val="00DA0C02"/>
    <w:rsid w:val="00DA0C87"/>
    <w:rsid w:val="00DA0D78"/>
    <w:rsid w:val="00DA1505"/>
    <w:rsid w:val="00DA1F78"/>
    <w:rsid w:val="00DA209E"/>
    <w:rsid w:val="00DA24C6"/>
    <w:rsid w:val="00DA24FE"/>
    <w:rsid w:val="00DA2839"/>
    <w:rsid w:val="00DA2FCF"/>
    <w:rsid w:val="00DA399A"/>
    <w:rsid w:val="00DA3F9E"/>
    <w:rsid w:val="00DA4978"/>
    <w:rsid w:val="00DA6483"/>
    <w:rsid w:val="00DA65E7"/>
    <w:rsid w:val="00DA6634"/>
    <w:rsid w:val="00DA6861"/>
    <w:rsid w:val="00DA6C24"/>
    <w:rsid w:val="00DA6DAA"/>
    <w:rsid w:val="00DA7A3D"/>
    <w:rsid w:val="00DA7C4C"/>
    <w:rsid w:val="00DA7DE3"/>
    <w:rsid w:val="00DA7F21"/>
    <w:rsid w:val="00DB053F"/>
    <w:rsid w:val="00DB0941"/>
    <w:rsid w:val="00DB0F82"/>
    <w:rsid w:val="00DB115D"/>
    <w:rsid w:val="00DB12C4"/>
    <w:rsid w:val="00DB1658"/>
    <w:rsid w:val="00DB21E0"/>
    <w:rsid w:val="00DB28A5"/>
    <w:rsid w:val="00DB2929"/>
    <w:rsid w:val="00DB330E"/>
    <w:rsid w:val="00DB3519"/>
    <w:rsid w:val="00DB3B5E"/>
    <w:rsid w:val="00DB3B61"/>
    <w:rsid w:val="00DB3E77"/>
    <w:rsid w:val="00DB452B"/>
    <w:rsid w:val="00DB45E4"/>
    <w:rsid w:val="00DB4A08"/>
    <w:rsid w:val="00DB4B10"/>
    <w:rsid w:val="00DB4CCB"/>
    <w:rsid w:val="00DB5206"/>
    <w:rsid w:val="00DB5757"/>
    <w:rsid w:val="00DB670E"/>
    <w:rsid w:val="00DB6BA9"/>
    <w:rsid w:val="00DB6D3C"/>
    <w:rsid w:val="00DB6F6E"/>
    <w:rsid w:val="00DB729C"/>
    <w:rsid w:val="00DB79C8"/>
    <w:rsid w:val="00DC03EF"/>
    <w:rsid w:val="00DC0D4A"/>
    <w:rsid w:val="00DC1243"/>
    <w:rsid w:val="00DC12D6"/>
    <w:rsid w:val="00DC1652"/>
    <w:rsid w:val="00DC229D"/>
    <w:rsid w:val="00DC2C01"/>
    <w:rsid w:val="00DC3113"/>
    <w:rsid w:val="00DC33BD"/>
    <w:rsid w:val="00DC33EE"/>
    <w:rsid w:val="00DC3A9C"/>
    <w:rsid w:val="00DC3BCD"/>
    <w:rsid w:val="00DC4412"/>
    <w:rsid w:val="00DC4696"/>
    <w:rsid w:val="00DC4BB8"/>
    <w:rsid w:val="00DC524F"/>
    <w:rsid w:val="00DC52CF"/>
    <w:rsid w:val="00DC5317"/>
    <w:rsid w:val="00DC5BFE"/>
    <w:rsid w:val="00DC5E4F"/>
    <w:rsid w:val="00DC6304"/>
    <w:rsid w:val="00DC6516"/>
    <w:rsid w:val="00DC67AD"/>
    <w:rsid w:val="00DC6B95"/>
    <w:rsid w:val="00DC6FF8"/>
    <w:rsid w:val="00DC74C0"/>
    <w:rsid w:val="00DC7BDB"/>
    <w:rsid w:val="00DC7C30"/>
    <w:rsid w:val="00DC7C4E"/>
    <w:rsid w:val="00DC7D4F"/>
    <w:rsid w:val="00DD1017"/>
    <w:rsid w:val="00DD10F6"/>
    <w:rsid w:val="00DD14E5"/>
    <w:rsid w:val="00DD185D"/>
    <w:rsid w:val="00DD1B63"/>
    <w:rsid w:val="00DD24A3"/>
    <w:rsid w:val="00DD24B8"/>
    <w:rsid w:val="00DD2816"/>
    <w:rsid w:val="00DD2A1D"/>
    <w:rsid w:val="00DD2D55"/>
    <w:rsid w:val="00DD2DE7"/>
    <w:rsid w:val="00DD312E"/>
    <w:rsid w:val="00DD314D"/>
    <w:rsid w:val="00DD38A4"/>
    <w:rsid w:val="00DD3B9E"/>
    <w:rsid w:val="00DD3E59"/>
    <w:rsid w:val="00DD41A1"/>
    <w:rsid w:val="00DD4431"/>
    <w:rsid w:val="00DD48B5"/>
    <w:rsid w:val="00DD4BE1"/>
    <w:rsid w:val="00DD5105"/>
    <w:rsid w:val="00DD54CD"/>
    <w:rsid w:val="00DD5554"/>
    <w:rsid w:val="00DD582D"/>
    <w:rsid w:val="00DD5F15"/>
    <w:rsid w:val="00DD6B81"/>
    <w:rsid w:val="00DD6DC9"/>
    <w:rsid w:val="00DD7249"/>
    <w:rsid w:val="00DD7345"/>
    <w:rsid w:val="00DD7412"/>
    <w:rsid w:val="00DD7674"/>
    <w:rsid w:val="00DD7738"/>
    <w:rsid w:val="00DE040E"/>
    <w:rsid w:val="00DE0DC3"/>
    <w:rsid w:val="00DE1164"/>
    <w:rsid w:val="00DE25CC"/>
    <w:rsid w:val="00DE25D6"/>
    <w:rsid w:val="00DE25DA"/>
    <w:rsid w:val="00DE268F"/>
    <w:rsid w:val="00DE26EC"/>
    <w:rsid w:val="00DE2CAE"/>
    <w:rsid w:val="00DE314D"/>
    <w:rsid w:val="00DE34CC"/>
    <w:rsid w:val="00DE34CF"/>
    <w:rsid w:val="00DE3593"/>
    <w:rsid w:val="00DE3922"/>
    <w:rsid w:val="00DE39A4"/>
    <w:rsid w:val="00DE4130"/>
    <w:rsid w:val="00DE45C1"/>
    <w:rsid w:val="00DE5098"/>
    <w:rsid w:val="00DE5783"/>
    <w:rsid w:val="00DE5EC7"/>
    <w:rsid w:val="00DE6447"/>
    <w:rsid w:val="00DE66E8"/>
    <w:rsid w:val="00DE6870"/>
    <w:rsid w:val="00DE68F6"/>
    <w:rsid w:val="00DE69CA"/>
    <w:rsid w:val="00DE7F25"/>
    <w:rsid w:val="00DF0300"/>
    <w:rsid w:val="00DF0344"/>
    <w:rsid w:val="00DF09CC"/>
    <w:rsid w:val="00DF0C9E"/>
    <w:rsid w:val="00DF0EA9"/>
    <w:rsid w:val="00DF1517"/>
    <w:rsid w:val="00DF161A"/>
    <w:rsid w:val="00DF1BC7"/>
    <w:rsid w:val="00DF1E3B"/>
    <w:rsid w:val="00DF22CA"/>
    <w:rsid w:val="00DF24D7"/>
    <w:rsid w:val="00DF2ABC"/>
    <w:rsid w:val="00DF2B20"/>
    <w:rsid w:val="00DF2BCD"/>
    <w:rsid w:val="00DF2F88"/>
    <w:rsid w:val="00DF3648"/>
    <w:rsid w:val="00DF3994"/>
    <w:rsid w:val="00DF477A"/>
    <w:rsid w:val="00DF477E"/>
    <w:rsid w:val="00DF4850"/>
    <w:rsid w:val="00DF4980"/>
    <w:rsid w:val="00DF5069"/>
    <w:rsid w:val="00DF5BDC"/>
    <w:rsid w:val="00DF5F51"/>
    <w:rsid w:val="00DF62E1"/>
    <w:rsid w:val="00DF63AE"/>
    <w:rsid w:val="00DF642A"/>
    <w:rsid w:val="00DF6B1A"/>
    <w:rsid w:val="00DF6BF6"/>
    <w:rsid w:val="00DF74D8"/>
    <w:rsid w:val="00DF75A6"/>
    <w:rsid w:val="00DF766C"/>
    <w:rsid w:val="00DF7AF7"/>
    <w:rsid w:val="00DF7B92"/>
    <w:rsid w:val="00DF7C92"/>
    <w:rsid w:val="00E01205"/>
    <w:rsid w:val="00E01239"/>
    <w:rsid w:val="00E0160F"/>
    <w:rsid w:val="00E018C7"/>
    <w:rsid w:val="00E01AC3"/>
    <w:rsid w:val="00E024FA"/>
    <w:rsid w:val="00E029E8"/>
    <w:rsid w:val="00E02C48"/>
    <w:rsid w:val="00E02D3D"/>
    <w:rsid w:val="00E02E0D"/>
    <w:rsid w:val="00E02EB0"/>
    <w:rsid w:val="00E03139"/>
    <w:rsid w:val="00E032D4"/>
    <w:rsid w:val="00E035D9"/>
    <w:rsid w:val="00E038FB"/>
    <w:rsid w:val="00E03BF6"/>
    <w:rsid w:val="00E03F4A"/>
    <w:rsid w:val="00E0471E"/>
    <w:rsid w:val="00E0505C"/>
    <w:rsid w:val="00E05C1C"/>
    <w:rsid w:val="00E06405"/>
    <w:rsid w:val="00E06503"/>
    <w:rsid w:val="00E068CA"/>
    <w:rsid w:val="00E06E72"/>
    <w:rsid w:val="00E0702E"/>
    <w:rsid w:val="00E07093"/>
    <w:rsid w:val="00E071BF"/>
    <w:rsid w:val="00E0735F"/>
    <w:rsid w:val="00E076EB"/>
    <w:rsid w:val="00E07BD3"/>
    <w:rsid w:val="00E07DB8"/>
    <w:rsid w:val="00E104FF"/>
    <w:rsid w:val="00E10F6B"/>
    <w:rsid w:val="00E110E0"/>
    <w:rsid w:val="00E11622"/>
    <w:rsid w:val="00E1251F"/>
    <w:rsid w:val="00E12F34"/>
    <w:rsid w:val="00E13192"/>
    <w:rsid w:val="00E13292"/>
    <w:rsid w:val="00E13754"/>
    <w:rsid w:val="00E1382A"/>
    <w:rsid w:val="00E13FBC"/>
    <w:rsid w:val="00E140E2"/>
    <w:rsid w:val="00E14BA4"/>
    <w:rsid w:val="00E15153"/>
    <w:rsid w:val="00E1523D"/>
    <w:rsid w:val="00E156F1"/>
    <w:rsid w:val="00E158F8"/>
    <w:rsid w:val="00E15B81"/>
    <w:rsid w:val="00E15B82"/>
    <w:rsid w:val="00E1644F"/>
    <w:rsid w:val="00E1659B"/>
    <w:rsid w:val="00E166E0"/>
    <w:rsid w:val="00E1694D"/>
    <w:rsid w:val="00E16974"/>
    <w:rsid w:val="00E169BB"/>
    <w:rsid w:val="00E16A76"/>
    <w:rsid w:val="00E16A95"/>
    <w:rsid w:val="00E16C12"/>
    <w:rsid w:val="00E179FE"/>
    <w:rsid w:val="00E17B53"/>
    <w:rsid w:val="00E17C5B"/>
    <w:rsid w:val="00E17D5A"/>
    <w:rsid w:val="00E20340"/>
    <w:rsid w:val="00E203BB"/>
    <w:rsid w:val="00E204F6"/>
    <w:rsid w:val="00E20ED1"/>
    <w:rsid w:val="00E212BB"/>
    <w:rsid w:val="00E21C2B"/>
    <w:rsid w:val="00E21C8B"/>
    <w:rsid w:val="00E21CAD"/>
    <w:rsid w:val="00E22402"/>
    <w:rsid w:val="00E22BF4"/>
    <w:rsid w:val="00E23810"/>
    <w:rsid w:val="00E238E9"/>
    <w:rsid w:val="00E23BB6"/>
    <w:rsid w:val="00E24277"/>
    <w:rsid w:val="00E2432A"/>
    <w:rsid w:val="00E24961"/>
    <w:rsid w:val="00E24998"/>
    <w:rsid w:val="00E24CC0"/>
    <w:rsid w:val="00E251F9"/>
    <w:rsid w:val="00E253DD"/>
    <w:rsid w:val="00E25AF1"/>
    <w:rsid w:val="00E25DF3"/>
    <w:rsid w:val="00E2601E"/>
    <w:rsid w:val="00E26A26"/>
    <w:rsid w:val="00E273D7"/>
    <w:rsid w:val="00E27931"/>
    <w:rsid w:val="00E27E4A"/>
    <w:rsid w:val="00E27F47"/>
    <w:rsid w:val="00E3028D"/>
    <w:rsid w:val="00E30A8C"/>
    <w:rsid w:val="00E30B95"/>
    <w:rsid w:val="00E30BAD"/>
    <w:rsid w:val="00E30BFE"/>
    <w:rsid w:val="00E30D1B"/>
    <w:rsid w:val="00E312F6"/>
    <w:rsid w:val="00E3161E"/>
    <w:rsid w:val="00E31761"/>
    <w:rsid w:val="00E31E63"/>
    <w:rsid w:val="00E322DB"/>
    <w:rsid w:val="00E322F6"/>
    <w:rsid w:val="00E32D7A"/>
    <w:rsid w:val="00E342A7"/>
    <w:rsid w:val="00E343E9"/>
    <w:rsid w:val="00E34907"/>
    <w:rsid w:val="00E3490C"/>
    <w:rsid w:val="00E34D09"/>
    <w:rsid w:val="00E350C1"/>
    <w:rsid w:val="00E35447"/>
    <w:rsid w:val="00E35658"/>
    <w:rsid w:val="00E35663"/>
    <w:rsid w:val="00E35844"/>
    <w:rsid w:val="00E36111"/>
    <w:rsid w:val="00E3659C"/>
    <w:rsid w:val="00E36871"/>
    <w:rsid w:val="00E36A9A"/>
    <w:rsid w:val="00E36C3F"/>
    <w:rsid w:val="00E36E3E"/>
    <w:rsid w:val="00E37185"/>
    <w:rsid w:val="00E374E2"/>
    <w:rsid w:val="00E378D6"/>
    <w:rsid w:val="00E37ACC"/>
    <w:rsid w:val="00E408CA"/>
    <w:rsid w:val="00E40923"/>
    <w:rsid w:val="00E40CFB"/>
    <w:rsid w:val="00E41470"/>
    <w:rsid w:val="00E42066"/>
    <w:rsid w:val="00E4279F"/>
    <w:rsid w:val="00E43DBB"/>
    <w:rsid w:val="00E4524B"/>
    <w:rsid w:val="00E455FC"/>
    <w:rsid w:val="00E45762"/>
    <w:rsid w:val="00E459C1"/>
    <w:rsid w:val="00E45D9E"/>
    <w:rsid w:val="00E46EE2"/>
    <w:rsid w:val="00E46EEE"/>
    <w:rsid w:val="00E50560"/>
    <w:rsid w:val="00E50CC1"/>
    <w:rsid w:val="00E51392"/>
    <w:rsid w:val="00E516D1"/>
    <w:rsid w:val="00E51A0E"/>
    <w:rsid w:val="00E51A7A"/>
    <w:rsid w:val="00E51B02"/>
    <w:rsid w:val="00E51EE4"/>
    <w:rsid w:val="00E5248B"/>
    <w:rsid w:val="00E526AF"/>
    <w:rsid w:val="00E53A99"/>
    <w:rsid w:val="00E53F64"/>
    <w:rsid w:val="00E543F3"/>
    <w:rsid w:val="00E546DD"/>
    <w:rsid w:val="00E54A7C"/>
    <w:rsid w:val="00E54E60"/>
    <w:rsid w:val="00E553E7"/>
    <w:rsid w:val="00E55528"/>
    <w:rsid w:val="00E5560C"/>
    <w:rsid w:val="00E557C8"/>
    <w:rsid w:val="00E55989"/>
    <w:rsid w:val="00E561D9"/>
    <w:rsid w:val="00E56399"/>
    <w:rsid w:val="00E568A2"/>
    <w:rsid w:val="00E5712B"/>
    <w:rsid w:val="00E571DD"/>
    <w:rsid w:val="00E57326"/>
    <w:rsid w:val="00E5753D"/>
    <w:rsid w:val="00E57934"/>
    <w:rsid w:val="00E57B38"/>
    <w:rsid w:val="00E57F01"/>
    <w:rsid w:val="00E60014"/>
    <w:rsid w:val="00E60323"/>
    <w:rsid w:val="00E60B7A"/>
    <w:rsid w:val="00E60CE8"/>
    <w:rsid w:val="00E6104A"/>
    <w:rsid w:val="00E6176A"/>
    <w:rsid w:val="00E61851"/>
    <w:rsid w:val="00E61CC6"/>
    <w:rsid w:val="00E61DFD"/>
    <w:rsid w:val="00E62164"/>
    <w:rsid w:val="00E62F3B"/>
    <w:rsid w:val="00E63113"/>
    <w:rsid w:val="00E63567"/>
    <w:rsid w:val="00E635C6"/>
    <w:rsid w:val="00E6371F"/>
    <w:rsid w:val="00E63A28"/>
    <w:rsid w:val="00E64141"/>
    <w:rsid w:val="00E645A6"/>
    <w:rsid w:val="00E648CB"/>
    <w:rsid w:val="00E64B8D"/>
    <w:rsid w:val="00E651A9"/>
    <w:rsid w:val="00E653D9"/>
    <w:rsid w:val="00E65465"/>
    <w:rsid w:val="00E65B14"/>
    <w:rsid w:val="00E670C2"/>
    <w:rsid w:val="00E67A51"/>
    <w:rsid w:val="00E67AF5"/>
    <w:rsid w:val="00E67EBC"/>
    <w:rsid w:val="00E67FB0"/>
    <w:rsid w:val="00E7064F"/>
    <w:rsid w:val="00E70CF5"/>
    <w:rsid w:val="00E716D0"/>
    <w:rsid w:val="00E722C5"/>
    <w:rsid w:val="00E72F0F"/>
    <w:rsid w:val="00E731C9"/>
    <w:rsid w:val="00E7323F"/>
    <w:rsid w:val="00E7325C"/>
    <w:rsid w:val="00E73447"/>
    <w:rsid w:val="00E735B8"/>
    <w:rsid w:val="00E73EDE"/>
    <w:rsid w:val="00E73F07"/>
    <w:rsid w:val="00E74560"/>
    <w:rsid w:val="00E745AA"/>
    <w:rsid w:val="00E74F81"/>
    <w:rsid w:val="00E7509D"/>
    <w:rsid w:val="00E7513C"/>
    <w:rsid w:val="00E75315"/>
    <w:rsid w:val="00E756DE"/>
    <w:rsid w:val="00E75A0C"/>
    <w:rsid w:val="00E75AFF"/>
    <w:rsid w:val="00E75BB8"/>
    <w:rsid w:val="00E75CEE"/>
    <w:rsid w:val="00E75DD5"/>
    <w:rsid w:val="00E75E62"/>
    <w:rsid w:val="00E763A1"/>
    <w:rsid w:val="00E763AD"/>
    <w:rsid w:val="00E76545"/>
    <w:rsid w:val="00E76719"/>
    <w:rsid w:val="00E80231"/>
    <w:rsid w:val="00E80C7E"/>
    <w:rsid w:val="00E814EC"/>
    <w:rsid w:val="00E81696"/>
    <w:rsid w:val="00E81F54"/>
    <w:rsid w:val="00E82684"/>
    <w:rsid w:val="00E828ED"/>
    <w:rsid w:val="00E82C12"/>
    <w:rsid w:val="00E82C42"/>
    <w:rsid w:val="00E833D8"/>
    <w:rsid w:val="00E837BE"/>
    <w:rsid w:val="00E8383C"/>
    <w:rsid w:val="00E83A54"/>
    <w:rsid w:val="00E83F2D"/>
    <w:rsid w:val="00E84DBE"/>
    <w:rsid w:val="00E852AE"/>
    <w:rsid w:val="00E855E9"/>
    <w:rsid w:val="00E855EF"/>
    <w:rsid w:val="00E85B59"/>
    <w:rsid w:val="00E85D39"/>
    <w:rsid w:val="00E86BE4"/>
    <w:rsid w:val="00E86CE4"/>
    <w:rsid w:val="00E86D54"/>
    <w:rsid w:val="00E8749B"/>
    <w:rsid w:val="00E875F9"/>
    <w:rsid w:val="00E90290"/>
    <w:rsid w:val="00E90465"/>
    <w:rsid w:val="00E91049"/>
    <w:rsid w:val="00E912B7"/>
    <w:rsid w:val="00E91881"/>
    <w:rsid w:val="00E92065"/>
    <w:rsid w:val="00E921FE"/>
    <w:rsid w:val="00E92631"/>
    <w:rsid w:val="00E927A9"/>
    <w:rsid w:val="00E927CD"/>
    <w:rsid w:val="00E92C71"/>
    <w:rsid w:val="00E9329F"/>
    <w:rsid w:val="00E935F2"/>
    <w:rsid w:val="00E9390E"/>
    <w:rsid w:val="00E93FEE"/>
    <w:rsid w:val="00E943BA"/>
    <w:rsid w:val="00E944C3"/>
    <w:rsid w:val="00E94E76"/>
    <w:rsid w:val="00E953CA"/>
    <w:rsid w:val="00E95424"/>
    <w:rsid w:val="00E958C1"/>
    <w:rsid w:val="00E95BF7"/>
    <w:rsid w:val="00E95E2D"/>
    <w:rsid w:val="00E95E66"/>
    <w:rsid w:val="00E95EB5"/>
    <w:rsid w:val="00E95F11"/>
    <w:rsid w:val="00E96013"/>
    <w:rsid w:val="00E96604"/>
    <w:rsid w:val="00E96818"/>
    <w:rsid w:val="00E96973"/>
    <w:rsid w:val="00E96976"/>
    <w:rsid w:val="00E96ECE"/>
    <w:rsid w:val="00E97182"/>
    <w:rsid w:val="00E9759A"/>
    <w:rsid w:val="00EA01AD"/>
    <w:rsid w:val="00EA01F6"/>
    <w:rsid w:val="00EA04A7"/>
    <w:rsid w:val="00EA0698"/>
    <w:rsid w:val="00EA087D"/>
    <w:rsid w:val="00EA0D29"/>
    <w:rsid w:val="00EA1173"/>
    <w:rsid w:val="00EA186D"/>
    <w:rsid w:val="00EA1ADC"/>
    <w:rsid w:val="00EA1EA8"/>
    <w:rsid w:val="00EA1FFA"/>
    <w:rsid w:val="00EA21E4"/>
    <w:rsid w:val="00EA23AE"/>
    <w:rsid w:val="00EA252E"/>
    <w:rsid w:val="00EA2B0E"/>
    <w:rsid w:val="00EA2BFC"/>
    <w:rsid w:val="00EA2CAB"/>
    <w:rsid w:val="00EA31D6"/>
    <w:rsid w:val="00EA35A9"/>
    <w:rsid w:val="00EA3AD3"/>
    <w:rsid w:val="00EA43C7"/>
    <w:rsid w:val="00EA4855"/>
    <w:rsid w:val="00EA5569"/>
    <w:rsid w:val="00EA5870"/>
    <w:rsid w:val="00EA5BA6"/>
    <w:rsid w:val="00EA5C1C"/>
    <w:rsid w:val="00EA5E61"/>
    <w:rsid w:val="00EA6223"/>
    <w:rsid w:val="00EA662F"/>
    <w:rsid w:val="00EA66B9"/>
    <w:rsid w:val="00EA66D0"/>
    <w:rsid w:val="00EA673F"/>
    <w:rsid w:val="00EA67E9"/>
    <w:rsid w:val="00EA6873"/>
    <w:rsid w:val="00EA6A69"/>
    <w:rsid w:val="00EA6E81"/>
    <w:rsid w:val="00EA78B9"/>
    <w:rsid w:val="00EB040E"/>
    <w:rsid w:val="00EB0A94"/>
    <w:rsid w:val="00EB1396"/>
    <w:rsid w:val="00EB148A"/>
    <w:rsid w:val="00EB15FF"/>
    <w:rsid w:val="00EB1650"/>
    <w:rsid w:val="00EB1B1B"/>
    <w:rsid w:val="00EB1E4F"/>
    <w:rsid w:val="00EB1E7C"/>
    <w:rsid w:val="00EB1EF7"/>
    <w:rsid w:val="00EB1FB0"/>
    <w:rsid w:val="00EB21AE"/>
    <w:rsid w:val="00EB22D2"/>
    <w:rsid w:val="00EB2353"/>
    <w:rsid w:val="00EB281C"/>
    <w:rsid w:val="00EB2B1D"/>
    <w:rsid w:val="00EB32CB"/>
    <w:rsid w:val="00EB3920"/>
    <w:rsid w:val="00EB3C29"/>
    <w:rsid w:val="00EB3DEF"/>
    <w:rsid w:val="00EB3ED0"/>
    <w:rsid w:val="00EB400A"/>
    <w:rsid w:val="00EB40A4"/>
    <w:rsid w:val="00EB45E8"/>
    <w:rsid w:val="00EB4C3E"/>
    <w:rsid w:val="00EB5347"/>
    <w:rsid w:val="00EB5510"/>
    <w:rsid w:val="00EB5A2A"/>
    <w:rsid w:val="00EB5B87"/>
    <w:rsid w:val="00EB5F69"/>
    <w:rsid w:val="00EB5F7C"/>
    <w:rsid w:val="00EB7314"/>
    <w:rsid w:val="00EB73F3"/>
    <w:rsid w:val="00EB7525"/>
    <w:rsid w:val="00EB786F"/>
    <w:rsid w:val="00EC0552"/>
    <w:rsid w:val="00EC0967"/>
    <w:rsid w:val="00EC0C5A"/>
    <w:rsid w:val="00EC0E34"/>
    <w:rsid w:val="00EC0F94"/>
    <w:rsid w:val="00EC1428"/>
    <w:rsid w:val="00EC1A89"/>
    <w:rsid w:val="00EC2B2B"/>
    <w:rsid w:val="00EC2C6D"/>
    <w:rsid w:val="00EC313A"/>
    <w:rsid w:val="00EC413E"/>
    <w:rsid w:val="00EC5335"/>
    <w:rsid w:val="00EC59E4"/>
    <w:rsid w:val="00EC5E19"/>
    <w:rsid w:val="00EC62C4"/>
    <w:rsid w:val="00EC6AE4"/>
    <w:rsid w:val="00EC73CB"/>
    <w:rsid w:val="00EC76FB"/>
    <w:rsid w:val="00EC7B5C"/>
    <w:rsid w:val="00EC7E28"/>
    <w:rsid w:val="00EC7FB0"/>
    <w:rsid w:val="00ED0129"/>
    <w:rsid w:val="00ED0AB5"/>
    <w:rsid w:val="00ED0CFA"/>
    <w:rsid w:val="00ED121F"/>
    <w:rsid w:val="00ED15B2"/>
    <w:rsid w:val="00ED1828"/>
    <w:rsid w:val="00ED1978"/>
    <w:rsid w:val="00ED1CCD"/>
    <w:rsid w:val="00ED1D61"/>
    <w:rsid w:val="00ED2957"/>
    <w:rsid w:val="00ED316A"/>
    <w:rsid w:val="00ED320B"/>
    <w:rsid w:val="00ED3913"/>
    <w:rsid w:val="00ED3CCC"/>
    <w:rsid w:val="00ED3F51"/>
    <w:rsid w:val="00ED3FA4"/>
    <w:rsid w:val="00ED4050"/>
    <w:rsid w:val="00ED4272"/>
    <w:rsid w:val="00ED42A1"/>
    <w:rsid w:val="00ED4D07"/>
    <w:rsid w:val="00ED51F2"/>
    <w:rsid w:val="00ED55DE"/>
    <w:rsid w:val="00ED57BE"/>
    <w:rsid w:val="00ED6269"/>
    <w:rsid w:val="00ED67F1"/>
    <w:rsid w:val="00ED7701"/>
    <w:rsid w:val="00ED79B5"/>
    <w:rsid w:val="00ED7A3E"/>
    <w:rsid w:val="00ED7CC8"/>
    <w:rsid w:val="00ED7F7D"/>
    <w:rsid w:val="00EE0078"/>
    <w:rsid w:val="00EE00F9"/>
    <w:rsid w:val="00EE126B"/>
    <w:rsid w:val="00EE13CC"/>
    <w:rsid w:val="00EE173D"/>
    <w:rsid w:val="00EE197C"/>
    <w:rsid w:val="00EE1A89"/>
    <w:rsid w:val="00EE2189"/>
    <w:rsid w:val="00EE25CA"/>
    <w:rsid w:val="00EE262D"/>
    <w:rsid w:val="00EE2631"/>
    <w:rsid w:val="00EE2C85"/>
    <w:rsid w:val="00EE39B2"/>
    <w:rsid w:val="00EE3B4F"/>
    <w:rsid w:val="00EE3C0D"/>
    <w:rsid w:val="00EE3F91"/>
    <w:rsid w:val="00EE4121"/>
    <w:rsid w:val="00EE416E"/>
    <w:rsid w:val="00EE4237"/>
    <w:rsid w:val="00EE43A0"/>
    <w:rsid w:val="00EE441C"/>
    <w:rsid w:val="00EE44CC"/>
    <w:rsid w:val="00EE50EE"/>
    <w:rsid w:val="00EE56EE"/>
    <w:rsid w:val="00EE57EE"/>
    <w:rsid w:val="00EE583E"/>
    <w:rsid w:val="00EE5DE9"/>
    <w:rsid w:val="00EE6459"/>
    <w:rsid w:val="00EE6B65"/>
    <w:rsid w:val="00EE6BB3"/>
    <w:rsid w:val="00EE6C94"/>
    <w:rsid w:val="00EE70EA"/>
    <w:rsid w:val="00EE77B3"/>
    <w:rsid w:val="00EE7901"/>
    <w:rsid w:val="00EE7BF1"/>
    <w:rsid w:val="00EE7E5E"/>
    <w:rsid w:val="00EE7FBD"/>
    <w:rsid w:val="00EF0101"/>
    <w:rsid w:val="00EF02C8"/>
    <w:rsid w:val="00EF0411"/>
    <w:rsid w:val="00EF0512"/>
    <w:rsid w:val="00EF0620"/>
    <w:rsid w:val="00EF0681"/>
    <w:rsid w:val="00EF0944"/>
    <w:rsid w:val="00EF0AB9"/>
    <w:rsid w:val="00EF0F5C"/>
    <w:rsid w:val="00EF123A"/>
    <w:rsid w:val="00EF134E"/>
    <w:rsid w:val="00EF1426"/>
    <w:rsid w:val="00EF1804"/>
    <w:rsid w:val="00EF23EA"/>
    <w:rsid w:val="00EF2989"/>
    <w:rsid w:val="00EF2D8D"/>
    <w:rsid w:val="00EF2DE7"/>
    <w:rsid w:val="00EF2EC8"/>
    <w:rsid w:val="00EF35A8"/>
    <w:rsid w:val="00EF38C0"/>
    <w:rsid w:val="00EF3B69"/>
    <w:rsid w:val="00EF4338"/>
    <w:rsid w:val="00EF4518"/>
    <w:rsid w:val="00EF4532"/>
    <w:rsid w:val="00EF528B"/>
    <w:rsid w:val="00EF5755"/>
    <w:rsid w:val="00EF6645"/>
    <w:rsid w:val="00EF675C"/>
    <w:rsid w:val="00EF6B94"/>
    <w:rsid w:val="00EF6EDE"/>
    <w:rsid w:val="00EF7269"/>
    <w:rsid w:val="00EF72BF"/>
    <w:rsid w:val="00EF7A36"/>
    <w:rsid w:val="00EF7AB8"/>
    <w:rsid w:val="00EF7CC9"/>
    <w:rsid w:val="00F0010C"/>
    <w:rsid w:val="00F00132"/>
    <w:rsid w:val="00F0020B"/>
    <w:rsid w:val="00F00366"/>
    <w:rsid w:val="00F0049C"/>
    <w:rsid w:val="00F00836"/>
    <w:rsid w:val="00F00AC2"/>
    <w:rsid w:val="00F00BF6"/>
    <w:rsid w:val="00F00DA3"/>
    <w:rsid w:val="00F01266"/>
    <w:rsid w:val="00F0132A"/>
    <w:rsid w:val="00F01469"/>
    <w:rsid w:val="00F01A11"/>
    <w:rsid w:val="00F020D7"/>
    <w:rsid w:val="00F0211F"/>
    <w:rsid w:val="00F026D8"/>
    <w:rsid w:val="00F02A4E"/>
    <w:rsid w:val="00F03077"/>
    <w:rsid w:val="00F0357C"/>
    <w:rsid w:val="00F03661"/>
    <w:rsid w:val="00F04919"/>
    <w:rsid w:val="00F04929"/>
    <w:rsid w:val="00F04CA5"/>
    <w:rsid w:val="00F05147"/>
    <w:rsid w:val="00F052D6"/>
    <w:rsid w:val="00F052FE"/>
    <w:rsid w:val="00F05456"/>
    <w:rsid w:val="00F057E3"/>
    <w:rsid w:val="00F05B94"/>
    <w:rsid w:val="00F0620F"/>
    <w:rsid w:val="00F062BB"/>
    <w:rsid w:val="00F066A4"/>
    <w:rsid w:val="00F0695B"/>
    <w:rsid w:val="00F06A37"/>
    <w:rsid w:val="00F06CD1"/>
    <w:rsid w:val="00F06DCC"/>
    <w:rsid w:val="00F07D9D"/>
    <w:rsid w:val="00F100F5"/>
    <w:rsid w:val="00F10435"/>
    <w:rsid w:val="00F10D14"/>
    <w:rsid w:val="00F11007"/>
    <w:rsid w:val="00F11CEA"/>
    <w:rsid w:val="00F12661"/>
    <w:rsid w:val="00F12684"/>
    <w:rsid w:val="00F128F2"/>
    <w:rsid w:val="00F12A13"/>
    <w:rsid w:val="00F12A48"/>
    <w:rsid w:val="00F131FC"/>
    <w:rsid w:val="00F132FE"/>
    <w:rsid w:val="00F13A26"/>
    <w:rsid w:val="00F1450E"/>
    <w:rsid w:val="00F14583"/>
    <w:rsid w:val="00F14AA9"/>
    <w:rsid w:val="00F14F88"/>
    <w:rsid w:val="00F15174"/>
    <w:rsid w:val="00F15321"/>
    <w:rsid w:val="00F153AC"/>
    <w:rsid w:val="00F154B8"/>
    <w:rsid w:val="00F15592"/>
    <w:rsid w:val="00F158EA"/>
    <w:rsid w:val="00F15A50"/>
    <w:rsid w:val="00F15FAC"/>
    <w:rsid w:val="00F163BF"/>
    <w:rsid w:val="00F168A8"/>
    <w:rsid w:val="00F1703C"/>
    <w:rsid w:val="00F17E70"/>
    <w:rsid w:val="00F2004A"/>
    <w:rsid w:val="00F212B3"/>
    <w:rsid w:val="00F21322"/>
    <w:rsid w:val="00F214A4"/>
    <w:rsid w:val="00F21B16"/>
    <w:rsid w:val="00F21F68"/>
    <w:rsid w:val="00F22387"/>
    <w:rsid w:val="00F22569"/>
    <w:rsid w:val="00F230DE"/>
    <w:rsid w:val="00F235A4"/>
    <w:rsid w:val="00F23B7B"/>
    <w:rsid w:val="00F23D27"/>
    <w:rsid w:val="00F241FF"/>
    <w:rsid w:val="00F2441B"/>
    <w:rsid w:val="00F24C03"/>
    <w:rsid w:val="00F24C3C"/>
    <w:rsid w:val="00F24F63"/>
    <w:rsid w:val="00F254B3"/>
    <w:rsid w:val="00F25A44"/>
    <w:rsid w:val="00F25A9E"/>
    <w:rsid w:val="00F25C27"/>
    <w:rsid w:val="00F260DA"/>
    <w:rsid w:val="00F269E6"/>
    <w:rsid w:val="00F26DC1"/>
    <w:rsid w:val="00F26F90"/>
    <w:rsid w:val="00F27006"/>
    <w:rsid w:val="00F274A0"/>
    <w:rsid w:val="00F278A0"/>
    <w:rsid w:val="00F27994"/>
    <w:rsid w:val="00F27D66"/>
    <w:rsid w:val="00F27E22"/>
    <w:rsid w:val="00F301FE"/>
    <w:rsid w:val="00F303FD"/>
    <w:rsid w:val="00F3052D"/>
    <w:rsid w:val="00F30C8D"/>
    <w:rsid w:val="00F30CAB"/>
    <w:rsid w:val="00F31249"/>
    <w:rsid w:val="00F31495"/>
    <w:rsid w:val="00F316C4"/>
    <w:rsid w:val="00F31851"/>
    <w:rsid w:val="00F31956"/>
    <w:rsid w:val="00F31AD6"/>
    <w:rsid w:val="00F31C05"/>
    <w:rsid w:val="00F321AF"/>
    <w:rsid w:val="00F32361"/>
    <w:rsid w:val="00F328BE"/>
    <w:rsid w:val="00F32F25"/>
    <w:rsid w:val="00F335F2"/>
    <w:rsid w:val="00F33A51"/>
    <w:rsid w:val="00F33B5B"/>
    <w:rsid w:val="00F35066"/>
    <w:rsid w:val="00F35370"/>
    <w:rsid w:val="00F3572E"/>
    <w:rsid w:val="00F35743"/>
    <w:rsid w:val="00F35850"/>
    <w:rsid w:val="00F35BBB"/>
    <w:rsid w:val="00F36012"/>
    <w:rsid w:val="00F36037"/>
    <w:rsid w:val="00F36055"/>
    <w:rsid w:val="00F36129"/>
    <w:rsid w:val="00F36C8D"/>
    <w:rsid w:val="00F36EE6"/>
    <w:rsid w:val="00F36F80"/>
    <w:rsid w:val="00F37666"/>
    <w:rsid w:val="00F37AEB"/>
    <w:rsid w:val="00F37BCD"/>
    <w:rsid w:val="00F402DD"/>
    <w:rsid w:val="00F40497"/>
    <w:rsid w:val="00F406F3"/>
    <w:rsid w:val="00F4079F"/>
    <w:rsid w:val="00F409C7"/>
    <w:rsid w:val="00F40A14"/>
    <w:rsid w:val="00F41022"/>
    <w:rsid w:val="00F41251"/>
    <w:rsid w:val="00F416FC"/>
    <w:rsid w:val="00F4195C"/>
    <w:rsid w:val="00F42182"/>
    <w:rsid w:val="00F42497"/>
    <w:rsid w:val="00F42964"/>
    <w:rsid w:val="00F44632"/>
    <w:rsid w:val="00F4483A"/>
    <w:rsid w:val="00F44A96"/>
    <w:rsid w:val="00F44CEC"/>
    <w:rsid w:val="00F44D5F"/>
    <w:rsid w:val="00F453DF"/>
    <w:rsid w:val="00F45FB1"/>
    <w:rsid w:val="00F462AD"/>
    <w:rsid w:val="00F470F3"/>
    <w:rsid w:val="00F4757F"/>
    <w:rsid w:val="00F475AD"/>
    <w:rsid w:val="00F475C3"/>
    <w:rsid w:val="00F47BBF"/>
    <w:rsid w:val="00F47FFC"/>
    <w:rsid w:val="00F50246"/>
    <w:rsid w:val="00F505CE"/>
    <w:rsid w:val="00F50B61"/>
    <w:rsid w:val="00F50CE1"/>
    <w:rsid w:val="00F51040"/>
    <w:rsid w:val="00F511DA"/>
    <w:rsid w:val="00F52365"/>
    <w:rsid w:val="00F52D56"/>
    <w:rsid w:val="00F5304D"/>
    <w:rsid w:val="00F53191"/>
    <w:rsid w:val="00F53853"/>
    <w:rsid w:val="00F53AE6"/>
    <w:rsid w:val="00F53C00"/>
    <w:rsid w:val="00F53E58"/>
    <w:rsid w:val="00F53ED5"/>
    <w:rsid w:val="00F540CD"/>
    <w:rsid w:val="00F54183"/>
    <w:rsid w:val="00F54D3F"/>
    <w:rsid w:val="00F550AE"/>
    <w:rsid w:val="00F564E9"/>
    <w:rsid w:val="00F56695"/>
    <w:rsid w:val="00F567C5"/>
    <w:rsid w:val="00F567E5"/>
    <w:rsid w:val="00F57A7B"/>
    <w:rsid w:val="00F602FD"/>
    <w:rsid w:val="00F604BB"/>
    <w:rsid w:val="00F60E1F"/>
    <w:rsid w:val="00F60F5D"/>
    <w:rsid w:val="00F6111B"/>
    <w:rsid w:val="00F61347"/>
    <w:rsid w:val="00F614B8"/>
    <w:rsid w:val="00F6194A"/>
    <w:rsid w:val="00F6213C"/>
    <w:rsid w:val="00F62841"/>
    <w:rsid w:val="00F62FC8"/>
    <w:rsid w:val="00F642B6"/>
    <w:rsid w:val="00F648AD"/>
    <w:rsid w:val="00F648BF"/>
    <w:rsid w:val="00F64995"/>
    <w:rsid w:val="00F64C4F"/>
    <w:rsid w:val="00F64DF5"/>
    <w:rsid w:val="00F64EFD"/>
    <w:rsid w:val="00F64FCE"/>
    <w:rsid w:val="00F650E1"/>
    <w:rsid w:val="00F65601"/>
    <w:rsid w:val="00F656A9"/>
    <w:rsid w:val="00F65B43"/>
    <w:rsid w:val="00F65E7B"/>
    <w:rsid w:val="00F66F48"/>
    <w:rsid w:val="00F67052"/>
    <w:rsid w:val="00F67363"/>
    <w:rsid w:val="00F673FE"/>
    <w:rsid w:val="00F67501"/>
    <w:rsid w:val="00F7018B"/>
    <w:rsid w:val="00F70872"/>
    <w:rsid w:val="00F70DB8"/>
    <w:rsid w:val="00F70DF8"/>
    <w:rsid w:val="00F7106C"/>
    <w:rsid w:val="00F71217"/>
    <w:rsid w:val="00F713BE"/>
    <w:rsid w:val="00F71492"/>
    <w:rsid w:val="00F714C1"/>
    <w:rsid w:val="00F715E7"/>
    <w:rsid w:val="00F71A0C"/>
    <w:rsid w:val="00F71B2B"/>
    <w:rsid w:val="00F71CD3"/>
    <w:rsid w:val="00F721B3"/>
    <w:rsid w:val="00F72391"/>
    <w:rsid w:val="00F725BF"/>
    <w:rsid w:val="00F72876"/>
    <w:rsid w:val="00F72A83"/>
    <w:rsid w:val="00F72D67"/>
    <w:rsid w:val="00F73095"/>
    <w:rsid w:val="00F73322"/>
    <w:rsid w:val="00F73BAB"/>
    <w:rsid w:val="00F740F9"/>
    <w:rsid w:val="00F74110"/>
    <w:rsid w:val="00F74131"/>
    <w:rsid w:val="00F74357"/>
    <w:rsid w:val="00F744C0"/>
    <w:rsid w:val="00F745AB"/>
    <w:rsid w:val="00F746FA"/>
    <w:rsid w:val="00F74C55"/>
    <w:rsid w:val="00F74E29"/>
    <w:rsid w:val="00F74E86"/>
    <w:rsid w:val="00F75A4C"/>
    <w:rsid w:val="00F75B84"/>
    <w:rsid w:val="00F75C5B"/>
    <w:rsid w:val="00F75D11"/>
    <w:rsid w:val="00F75E12"/>
    <w:rsid w:val="00F75FE7"/>
    <w:rsid w:val="00F76065"/>
    <w:rsid w:val="00F76085"/>
    <w:rsid w:val="00F7642B"/>
    <w:rsid w:val="00F768F4"/>
    <w:rsid w:val="00F76A49"/>
    <w:rsid w:val="00F76A62"/>
    <w:rsid w:val="00F76B3A"/>
    <w:rsid w:val="00F76C1F"/>
    <w:rsid w:val="00F773F4"/>
    <w:rsid w:val="00F77F50"/>
    <w:rsid w:val="00F800C1"/>
    <w:rsid w:val="00F80524"/>
    <w:rsid w:val="00F806B5"/>
    <w:rsid w:val="00F811D6"/>
    <w:rsid w:val="00F8120A"/>
    <w:rsid w:val="00F81231"/>
    <w:rsid w:val="00F81EEC"/>
    <w:rsid w:val="00F820C6"/>
    <w:rsid w:val="00F82325"/>
    <w:rsid w:val="00F82637"/>
    <w:rsid w:val="00F827F4"/>
    <w:rsid w:val="00F82F5C"/>
    <w:rsid w:val="00F8313C"/>
    <w:rsid w:val="00F83C7F"/>
    <w:rsid w:val="00F8505B"/>
    <w:rsid w:val="00F851C4"/>
    <w:rsid w:val="00F855BA"/>
    <w:rsid w:val="00F8565F"/>
    <w:rsid w:val="00F858CC"/>
    <w:rsid w:val="00F85976"/>
    <w:rsid w:val="00F85BCA"/>
    <w:rsid w:val="00F860E5"/>
    <w:rsid w:val="00F8632F"/>
    <w:rsid w:val="00F863A6"/>
    <w:rsid w:val="00F8679C"/>
    <w:rsid w:val="00F8685D"/>
    <w:rsid w:val="00F868B0"/>
    <w:rsid w:val="00F86C05"/>
    <w:rsid w:val="00F86D4A"/>
    <w:rsid w:val="00F86DE4"/>
    <w:rsid w:val="00F86F17"/>
    <w:rsid w:val="00F9027A"/>
    <w:rsid w:val="00F902FB"/>
    <w:rsid w:val="00F9041F"/>
    <w:rsid w:val="00F9068E"/>
    <w:rsid w:val="00F909F2"/>
    <w:rsid w:val="00F91D36"/>
    <w:rsid w:val="00F91EB6"/>
    <w:rsid w:val="00F9226D"/>
    <w:rsid w:val="00F92478"/>
    <w:rsid w:val="00F92528"/>
    <w:rsid w:val="00F9281E"/>
    <w:rsid w:val="00F928D3"/>
    <w:rsid w:val="00F92B0F"/>
    <w:rsid w:val="00F92B34"/>
    <w:rsid w:val="00F93A28"/>
    <w:rsid w:val="00F93FE2"/>
    <w:rsid w:val="00F947D3"/>
    <w:rsid w:val="00F94CF8"/>
    <w:rsid w:val="00F95605"/>
    <w:rsid w:val="00F956E0"/>
    <w:rsid w:val="00F95DAA"/>
    <w:rsid w:val="00F95EF9"/>
    <w:rsid w:val="00F9667F"/>
    <w:rsid w:val="00F96692"/>
    <w:rsid w:val="00F969CE"/>
    <w:rsid w:val="00F96BE4"/>
    <w:rsid w:val="00F96C9B"/>
    <w:rsid w:val="00F96DBE"/>
    <w:rsid w:val="00F96E33"/>
    <w:rsid w:val="00F97096"/>
    <w:rsid w:val="00F9723C"/>
    <w:rsid w:val="00F9754D"/>
    <w:rsid w:val="00F97BDC"/>
    <w:rsid w:val="00FA01C7"/>
    <w:rsid w:val="00FA0736"/>
    <w:rsid w:val="00FA076E"/>
    <w:rsid w:val="00FA081E"/>
    <w:rsid w:val="00FA0A01"/>
    <w:rsid w:val="00FA0A9D"/>
    <w:rsid w:val="00FA0B75"/>
    <w:rsid w:val="00FA0C62"/>
    <w:rsid w:val="00FA12F0"/>
    <w:rsid w:val="00FA13E1"/>
    <w:rsid w:val="00FA1C50"/>
    <w:rsid w:val="00FA1DFE"/>
    <w:rsid w:val="00FA1FF1"/>
    <w:rsid w:val="00FA239F"/>
    <w:rsid w:val="00FA27EA"/>
    <w:rsid w:val="00FA2D6B"/>
    <w:rsid w:val="00FA302B"/>
    <w:rsid w:val="00FA3968"/>
    <w:rsid w:val="00FA3AC7"/>
    <w:rsid w:val="00FA3FED"/>
    <w:rsid w:val="00FA4018"/>
    <w:rsid w:val="00FA42B1"/>
    <w:rsid w:val="00FA43FA"/>
    <w:rsid w:val="00FA4C16"/>
    <w:rsid w:val="00FA4D7E"/>
    <w:rsid w:val="00FA5088"/>
    <w:rsid w:val="00FA54D0"/>
    <w:rsid w:val="00FA552B"/>
    <w:rsid w:val="00FA571D"/>
    <w:rsid w:val="00FA5A4E"/>
    <w:rsid w:val="00FA5CF3"/>
    <w:rsid w:val="00FA62F7"/>
    <w:rsid w:val="00FA639B"/>
    <w:rsid w:val="00FA6588"/>
    <w:rsid w:val="00FA6972"/>
    <w:rsid w:val="00FA73DF"/>
    <w:rsid w:val="00FA7B12"/>
    <w:rsid w:val="00FA7BCE"/>
    <w:rsid w:val="00FA7DAB"/>
    <w:rsid w:val="00FA7F7D"/>
    <w:rsid w:val="00FB0339"/>
    <w:rsid w:val="00FB08FC"/>
    <w:rsid w:val="00FB18B3"/>
    <w:rsid w:val="00FB1C9A"/>
    <w:rsid w:val="00FB1D1A"/>
    <w:rsid w:val="00FB22FF"/>
    <w:rsid w:val="00FB24A8"/>
    <w:rsid w:val="00FB2896"/>
    <w:rsid w:val="00FB2A09"/>
    <w:rsid w:val="00FB3218"/>
    <w:rsid w:val="00FB385C"/>
    <w:rsid w:val="00FB390C"/>
    <w:rsid w:val="00FB3ABD"/>
    <w:rsid w:val="00FB40DF"/>
    <w:rsid w:val="00FB4764"/>
    <w:rsid w:val="00FB4B5B"/>
    <w:rsid w:val="00FB4C4A"/>
    <w:rsid w:val="00FB4D6B"/>
    <w:rsid w:val="00FB5367"/>
    <w:rsid w:val="00FB5853"/>
    <w:rsid w:val="00FB58E0"/>
    <w:rsid w:val="00FB5C3E"/>
    <w:rsid w:val="00FB6E94"/>
    <w:rsid w:val="00FB751A"/>
    <w:rsid w:val="00FB7C2D"/>
    <w:rsid w:val="00FB7D51"/>
    <w:rsid w:val="00FC093E"/>
    <w:rsid w:val="00FC0F54"/>
    <w:rsid w:val="00FC11FD"/>
    <w:rsid w:val="00FC138A"/>
    <w:rsid w:val="00FC1B24"/>
    <w:rsid w:val="00FC1EE0"/>
    <w:rsid w:val="00FC20CD"/>
    <w:rsid w:val="00FC20F8"/>
    <w:rsid w:val="00FC2250"/>
    <w:rsid w:val="00FC22D0"/>
    <w:rsid w:val="00FC24D5"/>
    <w:rsid w:val="00FC2C06"/>
    <w:rsid w:val="00FC42F8"/>
    <w:rsid w:val="00FC470C"/>
    <w:rsid w:val="00FC4790"/>
    <w:rsid w:val="00FC4D9F"/>
    <w:rsid w:val="00FC55B8"/>
    <w:rsid w:val="00FC6680"/>
    <w:rsid w:val="00FC6732"/>
    <w:rsid w:val="00FC70D3"/>
    <w:rsid w:val="00FC73A2"/>
    <w:rsid w:val="00FC7420"/>
    <w:rsid w:val="00FC751C"/>
    <w:rsid w:val="00FC76CA"/>
    <w:rsid w:val="00FC7CE9"/>
    <w:rsid w:val="00FC7D4E"/>
    <w:rsid w:val="00FD0353"/>
    <w:rsid w:val="00FD0363"/>
    <w:rsid w:val="00FD0969"/>
    <w:rsid w:val="00FD0E81"/>
    <w:rsid w:val="00FD1311"/>
    <w:rsid w:val="00FD16F4"/>
    <w:rsid w:val="00FD1EAF"/>
    <w:rsid w:val="00FD2010"/>
    <w:rsid w:val="00FD2033"/>
    <w:rsid w:val="00FD2282"/>
    <w:rsid w:val="00FD242A"/>
    <w:rsid w:val="00FD2625"/>
    <w:rsid w:val="00FD2AA6"/>
    <w:rsid w:val="00FD2C64"/>
    <w:rsid w:val="00FD2ED0"/>
    <w:rsid w:val="00FD30F6"/>
    <w:rsid w:val="00FD35FF"/>
    <w:rsid w:val="00FD38DD"/>
    <w:rsid w:val="00FD3A00"/>
    <w:rsid w:val="00FD3B80"/>
    <w:rsid w:val="00FD3EFF"/>
    <w:rsid w:val="00FD401A"/>
    <w:rsid w:val="00FD494E"/>
    <w:rsid w:val="00FD54A5"/>
    <w:rsid w:val="00FD5542"/>
    <w:rsid w:val="00FD578F"/>
    <w:rsid w:val="00FD59DF"/>
    <w:rsid w:val="00FD5EB0"/>
    <w:rsid w:val="00FD6176"/>
    <w:rsid w:val="00FD6515"/>
    <w:rsid w:val="00FD6E8A"/>
    <w:rsid w:val="00FD7312"/>
    <w:rsid w:val="00FD7B5C"/>
    <w:rsid w:val="00FE057C"/>
    <w:rsid w:val="00FE0701"/>
    <w:rsid w:val="00FE0905"/>
    <w:rsid w:val="00FE1ADB"/>
    <w:rsid w:val="00FE1E2C"/>
    <w:rsid w:val="00FE20B6"/>
    <w:rsid w:val="00FE21B2"/>
    <w:rsid w:val="00FE228E"/>
    <w:rsid w:val="00FE29EB"/>
    <w:rsid w:val="00FE2CB3"/>
    <w:rsid w:val="00FE30B5"/>
    <w:rsid w:val="00FE3363"/>
    <w:rsid w:val="00FE353A"/>
    <w:rsid w:val="00FE35C3"/>
    <w:rsid w:val="00FE372B"/>
    <w:rsid w:val="00FE3903"/>
    <w:rsid w:val="00FE3AEC"/>
    <w:rsid w:val="00FE3DBD"/>
    <w:rsid w:val="00FE46AA"/>
    <w:rsid w:val="00FE4B34"/>
    <w:rsid w:val="00FE4BF1"/>
    <w:rsid w:val="00FE4EC6"/>
    <w:rsid w:val="00FE51E0"/>
    <w:rsid w:val="00FE5530"/>
    <w:rsid w:val="00FE5AE0"/>
    <w:rsid w:val="00FE5BE8"/>
    <w:rsid w:val="00FE625C"/>
    <w:rsid w:val="00FE6AAA"/>
    <w:rsid w:val="00FE6FD7"/>
    <w:rsid w:val="00FE7612"/>
    <w:rsid w:val="00FE7CE1"/>
    <w:rsid w:val="00FE7DC4"/>
    <w:rsid w:val="00FE7EEB"/>
    <w:rsid w:val="00FE7FA0"/>
    <w:rsid w:val="00FF02BD"/>
    <w:rsid w:val="00FF038B"/>
    <w:rsid w:val="00FF04DB"/>
    <w:rsid w:val="00FF0BA9"/>
    <w:rsid w:val="00FF0CA1"/>
    <w:rsid w:val="00FF1040"/>
    <w:rsid w:val="00FF10A3"/>
    <w:rsid w:val="00FF1242"/>
    <w:rsid w:val="00FF179D"/>
    <w:rsid w:val="00FF19FF"/>
    <w:rsid w:val="00FF2DC7"/>
    <w:rsid w:val="00FF2FCF"/>
    <w:rsid w:val="00FF304C"/>
    <w:rsid w:val="00FF3142"/>
    <w:rsid w:val="00FF3CFA"/>
    <w:rsid w:val="00FF3E05"/>
    <w:rsid w:val="00FF4147"/>
    <w:rsid w:val="00FF4226"/>
    <w:rsid w:val="00FF4946"/>
    <w:rsid w:val="00FF4B40"/>
    <w:rsid w:val="00FF4C5D"/>
    <w:rsid w:val="00FF5181"/>
    <w:rsid w:val="00FF6389"/>
    <w:rsid w:val="00FF64BC"/>
    <w:rsid w:val="00FF682D"/>
    <w:rsid w:val="00FF6830"/>
    <w:rsid w:val="00FF708B"/>
    <w:rsid w:val="00FF7352"/>
    <w:rsid w:val="00FF73F4"/>
    <w:rsid w:val="00FF76AD"/>
    <w:rsid w:val="00FF76AF"/>
    <w:rsid w:val="00FF7765"/>
    <w:rsid w:val="00FF78A2"/>
    <w:rsid w:val="00FF79BB"/>
    <w:rsid w:val="00FF7B6F"/>
    <w:rsid w:val="00FF7CCE"/>
    <w:rsid w:val="00FF7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FE6B"/>
  <w15:chartTrackingRefBased/>
  <w15:docId w15:val="{F404F0F4-9D55-45F6-8782-2696264E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
    <w:qFormat/>
    <w:rsid w:val="00F4757F"/>
    <w:pPr>
      <w:spacing w:before="120" w:after="240" w:line="360" w:lineRule="auto"/>
      <w:jc w:val="both"/>
    </w:pPr>
    <w:rPr>
      <w:rFonts w:ascii="Arial" w:eastAsia="Times New Roman" w:hAnsi="Arial" w:cs="Arial"/>
      <w:sz w:val="28"/>
      <w:szCs w:val="28"/>
      <w:lang w:eastAsia="es-ES"/>
    </w:rPr>
  </w:style>
  <w:style w:type="paragraph" w:styleId="Ttulo1">
    <w:name w:val="heading 1"/>
    <w:basedOn w:val="Normal"/>
    <w:next w:val="Normal"/>
    <w:link w:val="Ttulo1Car"/>
    <w:qFormat/>
    <w:rsid w:val="00583ED9"/>
    <w:pPr>
      <w:numPr>
        <w:numId w:val="1"/>
      </w:numPr>
      <w:spacing w:before="480"/>
      <w:jc w:val="center"/>
      <w:outlineLvl w:val="0"/>
    </w:pPr>
    <w:rPr>
      <w:b/>
    </w:rPr>
  </w:style>
  <w:style w:type="paragraph" w:styleId="Ttulo2">
    <w:name w:val="heading 2"/>
    <w:aliases w:val="Pie de pagina"/>
    <w:basedOn w:val="Normal"/>
    <w:next w:val="Normal"/>
    <w:link w:val="Ttulo2Car"/>
    <w:uiPriority w:val="9"/>
    <w:unhideWhenUsed/>
    <w:rsid w:val="00585053"/>
    <w:pPr>
      <w:spacing w:line="240" w:lineRule="auto"/>
      <w:outlineLvl w:val="1"/>
    </w:pPr>
    <w:rPr>
      <w:rFonts w:eastAsiaTheme="majorEastAsia" w:cstheme="majorBidi"/>
      <w:sz w:val="20"/>
      <w:szCs w:val="26"/>
    </w:rPr>
  </w:style>
  <w:style w:type="paragraph" w:styleId="Ttulo3">
    <w:name w:val="heading 3"/>
    <w:basedOn w:val="Normal"/>
    <w:next w:val="Normal"/>
    <w:link w:val="Ttulo3Car"/>
    <w:uiPriority w:val="9"/>
    <w:unhideWhenUsed/>
    <w:rsid w:val="00BF04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F04D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323C7"/>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D323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4fondo">
    <w:name w:val="corte4 fondo"/>
    <w:basedOn w:val="Normal"/>
    <w:link w:val="corte4fondoCar"/>
    <w:qFormat/>
    <w:rsid w:val="007C2EE9"/>
    <w:pPr>
      <w:spacing w:before="0" w:after="0"/>
      <w:ind w:firstLine="709"/>
    </w:pPr>
    <w:rPr>
      <w:rFonts w:cs="Times New Roman"/>
      <w:sz w:val="30"/>
      <w:szCs w:val="24"/>
    </w:rPr>
  </w:style>
  <w:style w:type="character" w:customStyle="1" w:styleId="corte4fondoCar">
    <w:name w:val="corte4 fondo Car"/>
    <w:link w:val="corte4fondo"/>
    <w:rsid w:val="007C2EE9"/>
    <w:rPr>
      <w:rFonts w:ascii="Arial" w:eastAsia="Times New Roman" w:hAnsi="Arial" w:cs="Times New Roman"/>
      <w:sz w:val="30"/>
      <w:szCs w:val="24"/>
      <w:lang w:eastAsia="es-ES"/>
    </w:rPr>
  </w:style>
  <w:style w:type="paragraph" w:styleId="Sinespaciado">
    <w:name w:val="No Spacing"/>
    <w:aliases w:val="Título II"/>
    <w:basedOn w:val="Ttulo1"/>
    <w:next w:val="normal2"/>
    <w:uiPriority w:val="1"/>
    <w:qFormat/>
    <w:rsid w:val="001B7AB5"/>
    <w:pPr>
      <w:numPr>
        <w:numId w:val="0"/>
      </w:numPr>
    </w:pPr>
    <w:rPr>
      <w:spacing w:val="70"/>
    </w:rPr>
  </w:style>
  <w:style w:type="character" w:customStyle="1" w:styleId="Ttulo1Car">
    <w:name w:val="Título 1 Car"/>
    <w:basedOn w:val="Fuentedeprrafopredeter"/>
    <w:link w:val="Ttulo1"/>
    <w:rsid w:val="00583ED9"/>
    <w:rPr>
      <w:rFonts w:ascii="Arial" w:eastAsia="Times New Roman" w:hAnsi="Arial" w:cs="Arial"/>
      <w:b/>
      <w:sz w:val="28"/>
      <w:szCs w:val="28"/>
      <w:lang w:eastAsia="es-ES"/>
    </w:rPr>
  </w:style>
  <w:style w:type="character" w:customStyle="1" w:styleId="Ttulo2Car">
    <w:name w:val="Título 2 Car"/>
    <w:aliases w:val="Pie de pagina Car"/>
    <w:basedOn w:val="Fuentedeprrafopredeter"/>
    <w:link w:val="Ttulo2"/>
    <w:uiPriority w:val="9"/>
    <w:rsid w:val="00585053"/>
    <w:rPr>
      <w:rFonts w:ascii="Arial" w:eastAsiaTheme="majorEastAsia" w:hAnsi="Arial" w:cstheme="majorBidi"/>
      <w:sz w:val="20"/>
      <w:szCs w:val="26"/>
      <w:lang w:eastAsia="es-ES"/>
    </w:rPr>
  </w:style>
  <w:style w:type="paragraph" w:customStyle="1" w:styleId="Footnote">
    <w:name w:val="Footnote"/>
    <w:basedOn w:val="normal2"/>
    <w:next w:val="normal2"/>
    <w:qFormat/>
    <w:rsid w:val="009870C2"/>
    <w:pPr>
      <w:spacing w:before="0" w:after="0" w:line="240" w:lineRule="auto"/>
    </w:pPr>
    <w:rPr>
      <w:sz w:val="24"/>
    </w:rPr>
  </w:style>
  <w:style w:type="paragraph" w:customStyle="1" w:styleId="normal2">
    <w:name w:val="normal 2"/>
    <w:basedOn w:val="Normal"/>
    <w:next w:val="Ttulo1"/>
    <w:qFormat/>
    <w:rsid w:val="00101B4B"/>
  </w:style>
  <w:style w:type="paragraph" w:customStyle="1" w:styleId="corte2ponente">
    <w:name w:val="corte2 ponente"/>
    <w:basedOn w:val="Normal"/>
    <w:rsid w:val="006F77A4"/>
    <w:pPr>
      <w:spacing w:line="240" w:lineRule="auto"/>
      <w:jc w:val="left"/>
    </w:pPr>
    <w:rPr>
      <w:rFonts w:cs="Times New Roman"/>
      <w:b/>
      <w:caps/>
      <w:sz w:val="30"/>
      <w:szCs w:val="24"/>
    </w:rPr>
  </w:style>
  <w:style w:type="table" w:styleId="Tablaconcuadrcula">
    <w:name w:val="Table Grid"/>
    <w:basedOn w:val="Tablanormal"/>
    <w:uiPriority w:val="39"/>
    <w:rsid w:val="006F77A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te1datos">
    <w:name w:val="corte1 datos"/>
    <w:basedOn w:val="Normal"/>
    <w:link w:val="corte1datosCar"/>
    <w:qFormat/>
    <w:rsid w:val="006F77A4"/>
    <w:pPr>
      <w:spacing w:line="240" w:lineRule="auto"/>
      <w:ind w:left="2552"/>
      <w:jc w:val="left"/>
    </w:pPr>
    <w:rPr>
      <w:rFonts w:cs="Times New Roman"/>
      <w:b/>
      <w:caps/>
      <w:sz w:val="30"/>
      <w:szCs w:val="20"/>
      <w:lang w:val="es-ES_tradnl"/>
    </w:rPr>
  </w:style>
  <w:style w:type="paragraph" w:customStyle="1" w:styleId="corte4fondoCarCarCar">
    <w:name w:val="corte4 fondo Car Car Car"/>
    <w:basedOn w:val="Normal"/>
    <w:link w:val="corte4fondoCarCarCarCar1"/>
    <w:rsid w:val="006F77A4"/>
    <w:pPr>
      <w:ind w:firstLine="709"/>
    </w:pPr>
    <w:rPr>
      <w:rFonts w:cs="Times New Roman"/>
      <w:sz w:val="30"/>
      <w:szCs w:val="24"/>
      <w:lang w:val="es-ES_tradnl" w:eastAsia="es-MX"/>
    </w:rPr>
  </w:style>
  <w:style w:type="paragraph" w:styleId="Encabezado">
    <w:name w:val="header"/>
    <w:basedOn w:val="Normal"/>
    <w:link w:val="EncabezadoCar"/>
    <w:uiPriority w:val="99"/>
    <w:unhideWhenUsed/>
    <w:rsid w:val="006F77A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F77A4"/>
    <w:rPr>
      <w:rFonts w:ascii="Arial" w:eastAsia="Times New Roman" w:hAnsi="Arial" w:cs="Arial"/>
      <w:sz w:val="28"/>
      <w:szCs w:val="28"/>
      <w:lang w:eastAsia="es-ES"/>
    </w:rPr>
  </w:style>
  <w:style w:type="paragraph" w:styleId="Piedepgina">
    <w:name w:val="footer"/>
    <w:basedOn w:val="Normal"/>
    <w:link w:val="PiedepginaCar"/>
    <w:uiPriority w:val="99"/>
    <w:unhideWhenUsed/>
    <w:rsid w:val="006F77A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F77A4"/>
    <w:rPr>
      <w:rFonts w:ascii="Arial" w:eastAsia="Times New Roman" w:hAnsi="Arial" w:cs="Arial"/>
      <w:sz w:val="28"/>
      <w:szCs w:val="28"/>
      <w:lang w:eastAsia="es-ES"/>
    </w:rPr>
  </w:style>
  <w:style w:type="paragraph" w:customStyle="1" w:styleId="sentencia">
    <w:name w:val="sentencia"/>
    <w:basedOn w:val="corte4fondoCarCarCar"/>
    <w:qFormat/>
    <w:rsid w:val="006F77A4"/>
    <w:pPr>
      <w:spacing w:before="160" w:after="160"/>
    </w:pPr>
    <w:rPr>
      <w:rFonts w:cs="Arial"/>
      <w:sz w:val="28"/>
      <w:szCs w:val="28"/>
    </w:rPr>
  </w:style>
  <w:style w:type="paragraph" w:customStyle="1" w:styleId="RUBRO">
    <w:name w:val="RUBRO"/>
    <w:basedOn w:val="normal2"/>
    <w:qFormat/>
    <w:rsid w:val="00101B4B"/>
    <w:pPr>
      <w:spacing w:line="240" w:lineRule="auto"/>
    </w:pPr>
    <w:rPr>
      <w:b/>
      <w:caps/>
    </w:rPr>
  </w:style>
  <w:style w:type="paragraph" w:styleId="Prrafodelista">
    <w:name w:val="List Paragraph"/>
    <w:aliases w:val="Cita texto,List Paragraph1,TEXTO GENERAL SENTENCIAS,Párrafo de lista1,Párrafo de lista2,List Paragraph,Lista vistosa - Énfasis 11,Colorful List - Accent 11,Cuadrícula clara - Énfasis 31,Lista multicolor - Énfasis 11,Dot pt,lp1,Parrafo 1"/>
    <w:basedOn w:val="Normal"/>
    <w:link w:val="PrrafodelistaCar"/>
    <w:uiPriority w:val="34"/>
    <w:qFormat/>
    <w:rsid w:val="009870C2"/>
    <w:pPr>
      <w:spacing w:before="160" w:after="160" w:line="276" w:lineRule="auto"/>
      <w:ind w:left="720"/>
    </w:pPr>
    <w:rPr>
      <w:sz w:val="24"/>
    </w:rPr>
  </w:style>
  <w:style w:type="paragraph" w:styleId="Textonotapie">
    <w:name w:val="footnote text"/>
    <w:aliases w:val=" Car,Footnote Text Char Char Char Char Char,Footnote Text Char Char Char Char,Footnote reference,FA Fu,Car,Footnote Text Char Char Char,Footnote Text Cha,FA Fußnotentext,FA Fuﬂnotentext,Footnote Text Char Char,FA Fu?notentext,Ca, Car3, C"/>
    <w:basedOn w:val="Normal"/>
    <w:link w:val="TextonotapieCar"/>
    <w:uiPriority w:val="99"/>
    <w:unhideWhenUsed/>
    <w:qFormat/>
    <w:rsid w:val="00EF2EC8"/>
    <w:pPr>
      <w:spacing w:before="0" w:after="0" w:line="240" w:lineRule="auto"/>
    </w:pPr>
    <w:rPr>
      <w:sz w:val="20"/>
      <w:szCs w:val="20"/>
    </w:rPr>
  </w:style>
  <w:style w:type="character" w:customStyle="1" w:styleId="TextonotapieCar">
    <w:name w:val="Texto nota pie Car"/>
    <w:aliases w:val=" Car Car,Footnote Text Char Char Char Char Char Car,Footnote Text Char Char Char Char Car,Footnote reference Car,FA Fu Car,Car Car,Footnote Text Char Char Char Car,Footnote Text Cha Car,FA Fußnotentext Car,FA Fuﬂnotentext Car,Ca Car"/>
    <w:basedOn w:val="Fuentedeprrafopredeter"/>
    <w:link w:val="Textonotapie"/>
    <w:uiPriority w:val="99"/>
    <w:qFormat/>
    <w:rsid w:val="00EF2EC8"/>
    <w:rPr>
      <w:rFonts w:ascii="Arial" w:eastAsia="Times New Roman" w:hAnsi="Arial" w:cs="Arial"/>
      <w:sz w:val="20"/>
      <w:szCs w:val="20"/>
      <w:lang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basedOn w:val="Fuentedeprrafopredeter"/>
    <w:link w:val="4GChar"/>
    <w:unhideWhenUsed/>
    <w:qFormat/>
    <w:rsid w:val="00EF2EC8"/>
    <w:rPr>
      <w:vertAlign w:val="superscript"/>
    </w:rPr>
  </w:style>
  <w:style w:type="paragraph" w:styleId="Textodeglobo">
    <w:name w:val="Balloon Text"/>
    <w:basedOn w:val="Normal"/>
    <w:link w:val="TextodegloboCar"/>
    <w:uiPriority w:val="99"/>
    <w:semiHidden/>
    <w:unhideWhenUsed/>
    <w:rsid w:val="0059452D"/>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452D"/>
    <w:rPr>
      <w:rFonts w:ascii="Segoe UI" w:eastAsia="Times New Roman" w:hAnsi="Segoe UI" w:cs="Segoe UI"/>
      <w:sz w:val="18"/>
      <w:szCs w:val="18"/>
      <w:lang w:eastAsia="es-ES"/>
    </w:rPr>
  </w:style>
  <w:style w:type="paragraph" w:customStyle="1" w:styleId="Prrato">
    <w:name w:val="Párrato"/>
    <w:basedOn w:val="Normal"/>
    <w:rsid w:val="0059452D"/>
    <w:rPr>
      <w:lang w:val="es-ES_tradnl"/>
    </w:rPr>
  </w:style>
  <w:style w:type="paragraph" w:customStyle="1" w:styleId="Estilo1">
    <w:name w:val="Estilo1"/>
    <w:basedOn w:val="corte4fondo"/>
    <w:qFormat/>
    <w:rsid w:val="00AF3323"/>
    <w:pPr>
      <w:numPr>
        <w:numId w:val="3"/>
      </w:numPr>
      <w:spacing w:before="240" w:after="240"/>
    </w:pPr>
    <w:rPr>
      <w:rFonts w:cs="Arial"/>
      <w:sz w:val="28"/>
      <w:szCs w:val="28"/>
    </w:rPr>
  </w:style>
  <w:style w:type="paragraph" w:customStyle="1" w:styleId="Texto">
    <w:name w:val="Texto"/>
    <w:basedOn w:val="Normal"/>
    <w:link w:val="TextoCar"/>
    <w:rsid w:val="00A25313"/>
    <w:pPr>
      <w:spacing w:before="0" w:after="101" w:line="216" w:lineRule="exact"/>
      <w:ind w:firstLine="288"/>
    </w:pPr>
    <w:rPr>
      <w:sz w:val="18"/>
      <w:szCs w:val="24"/>
      <w:lang w:val="es-ES"/>
    </w:rPr>
  </w:style>
  <w:style w:type="character" w:customStyle="1" w:styleId="TextoCar">
    <w:name w:val="Texto Car"/>
    <w:link w:val="Texto"/>
    <w:rsid w:val="00A25313"/>
    <w:rPr>
      <w:rFonts w:ascii="Arial" w:eastAsia="Times New Roman" w:hAnsi="Arial" w:cs="Arial"/>
      <w:sz w:val="18"/>
      <w:szCs w:val="24"/>
      <w:lang w:val="es-ES" w:eastAsia="es-ES"/>
    </w:rPr>
  </w:style>
  <w:style w:type="paragraph" w:customStyle="1" w:styleId="Incisos-agravios">
    <w:name w:val="Incisos - agravios"/>
    <w:basedOn w:val="Sinespaciado"/>
    <w:link w:val="Incisos-agraviosCar"/>
    <w:qFormat/>
    <w:rsid w:val="005C0822"/>
    <w:pPr>
      <w:numPr>
        <w:numId w:val="2"/>
      </w:numPr>
      <w:spacing w:before="160" w:after="160"/>
      <w:jc w:val="both"/>
      <w:outlineLvl w:val="9"/>
    </w:pPr>
    <w:rPr>
      <w:rFonts w:cs="Times New Roman"/>
      <w:b w:val="0"/>
      <w:spacing w:val="0"/>
      <w:szCs w:val="22"/>
      <w:lang w:eastAsia="es-MX"/>
    </w:rPr>
  </w:style>
  <w:style w:type="character" w:customStyle="1" w:styleId="Incisos-agraviosCar">
    <w:name w:val="Incisos - agravios Car"/>
    <w:link w:val="Incisos-agravios"/>
    <w:rsid w:val="005C0822"/>
    <w:rPr>
      <w:rFonts w:ascii="Arial" w:eastAsia="Times New Roman" w:hAnsi="Arial" w:cs="Times New Roman"/>
      <w:sz w:val="28"/>
      <w:lang w:eastAsia="es-MX"/>
    </w:rPr>
  </w:style>
  <w:style w:type="character" w:customStyle="1" w:styleId="corte4fondoCarCarCarCar1">
    <w:name w:val="corte4 fondo Car Car Car Car1"/>
    <w:link w:val="corte4fondoCarCarCar"/>
    <w:rsid w:val="00DB0941"/>
    <w:rPr>
      <w:rFonts w:ascii="Arial" w:eastAsia="Times New Roman" w:hAnsi="Arial" w:cs="Times New Roman"/>
      <w:sz w:val="30"/>
      <w:szCs w:val="24"/>
      <w:lang w:val="es-ES_tradnl" w:eastAsia="es-MX"/>
    </w:rPr>
  </w:style>
  <w:style w:type="character" w:customStyle="1" w:styleId="corte4fondoCar1">
    <w:name w:val="corte4 fondo Car1"/>
    <w:qFormat/>
    <w:rsid w:val="00C758A3"/>
    <w:rPr>
      <w:rFonts w:ascii="Arial" w:hAnsi="Arial"/>
      <w:sz w:val="30"/>
      <w:lang w:val="es-ES_tradnl" w:eastAsia="es-ES"/>
    </w:rPr>
  </w:style>
  <w:style w:type="paragraph" w:customStyle="1" w:styleId="Default">
    <w:name w:val="Default"/>
    <w:rsid w:val="007E35F4"/>
    <w:pPr>
      <w:autoSpaceDE w:val="0"/>
      <w:autoSpaceDN w:val="0"/>
      <w:adjustRightInd w:val="0"/>
      <w:spacing w:after="0" w:line="240" w:lineRule="auto"/>
    </w:pPr>
    <w:rPr>
      <w:rFonts w:ascii="Arial" w:hAnsi="Arial" w:cs="Arial"/>
      <w:color w:val="000000"/>
      <w:sz w:val="24"/>
      <w:szCs w:val="24"/>
    </w:rPr>
  </w:style>
  <w:style w:type="paragraph" w:customStyle="1" w:styleId="corte5transcripcion">
    <w:name w:val="corte5 transcripcion"/>
    <w:basedOn w:val="Normal"/>
    <w:link w:val="corte5transcripcionCar"/>
    <w:qFormat/>
    <w:rsid w:val="005A3896"/>
    <w:pPr>
      <w:spacing w:before="0" w:after="0"/>
      <w:ind w:left="709" w:right="709"/>
    </w:pPr>
    <w:rPr>
      <w:rFonts w:cs="Times New Roman"/>
      <w:b/>
      <w:i/>
      <w:sz w:val="30"/>
      <w:szCs w:val="24"/>
    </w:rPr>
  </w:style>
  <w:style w:type="character" w:customStyle="1" w:styleId="corte5transcripcionCar">
    <w:name w:val="corte5 transcripcion Car"/>
    <w:link w:val="corte5transcripcion"/>
    <w:rsid w:val="005A3896"/>
    <w:rPr>
      <w:rFonts w:ascii="Arial" w:eastAsia="Times New Roman" w:hAnsi="Arial" w:cs="Times New Roman"/>
      <w:b/>
      <w:i/>
      <w:sz w:val="30"/>
      <w:szCs w:val="24"/>
      <w:lang w:eastAsia="es-ES"/>
    </w:rPr>
  </w:style>
  <w:style w:type="paragraph" w:styleId="Sangra3detindependiente">
    <w:name w:val="Body Text Indent 3"/>
    <w:basedOn w:val="Normal"/>
    <w:link w:val="Sangra3detindependienteCar"/>
    <w:rsid w:val="009522B9"/>
    <w:pPr>
      <w:spacing w:before="0" w:after="120" w:line="240" w:lineRule="auto"/>
      <w:ind w:left="283"/>
      <w:jc w:val="left"/>
    </w:pPr>
    <w:rPr>
      <w:rFonts w:ascii="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9522B9"/>
    <w:rPr>
      <w:rFonts w:ascii="Times New Roman" w:eastAsia="Times New Roman" w:hAnsi="Times New Roman" w:cs="Times New Roman"/>
      <w:sz w:val="16"/>
      <w:szCs w:val="16"/>
      <w:lang w:eastAsia="es-ES"/>
    </w:rPr>
  </w:style>
  <w:style w:type="paragraph" w:styleId="Citadestacada">
    <w:name w:val="Intense Quote"/>
    <w:basedOn w:val="Normal"/>
    <w:next w:val="Normal"/>
    <w:link w:val="CitadestacadaCar"/>
    <w:uiPriority w:val="30"/>
    <w:rsid w:val="006A7711"/>
    <w:pPr>
      <w:pBdr>
        <w:bottom w:val="single" w:sz="4" w:space="4" w:color="5B9BD5" w:themeColor="accent1"/>
      </w:pBdr>
      <w:spacing w:before="200" w:after="280" w:line="276" w:lineRule="auto"/>
      <w:ind w:left="936" w:right="936"/>
      <w:jc w:val="left"/>
    </w:pPr>
    <w:rPr>
      <w:rFonts w:asciiTheme="minorHAnsi" w:eastAsiaTheme="minorHAnsi" w:hAnsiTheme="minorHAnsi" w:cstheme="minorBidi"/>
      <w:b/>
      <w:bCs/>
      <w:i/>
      <w:iCs/>
      <w:color w:val="5B9BD5" w:themeColor="accent1"/>
      <w:sz w:val="22"/>
      <w:szCs w:val="22"/>
      <w:lang w:eastAsia="en-US"/>
    </w:rPr>
  </w:style>
  <w:style w:type="character" w:customStyle="1" w:styleId="CitadestacadaCar">
    <w:name w:val="Cita destacada Car"/>
    <w:basedOn w:val="Fuentedeprrafopredeter"/>
    <w:link w:val="Citadestacada"/>
    <w:uiPriority w:val="30"/>
    <w:rsid w:val="006A7711"/>
    <w:rPr>
      <w:b/>
      <w:bCs/>
      <w:i/>
      <w:iCs/>
      <w:color w:val="5B9BD5" w:themeColor="accent1"/>
    </w:rPr>
  </w:style>
  <w:style w:type="paragraph" w:customStyle="1" w:styleId="TEXTONORMAL">
    <w:name w:val="TEXTO NORMAL"/>
    <w:basedOn w:val="Normal"/>
    <w:link w:val="TEXTONORMALCar"/>
    <w:rsid w:val="00FC20CD"/>
    <w:pPr>
      <w:spacing w:before="0" w:after="0"/>
      <w:ind w:firstLine="709"/>
    </w:pPr>
    <w:rPr>
      <w:lang w:val="es-ES_tradnl"/>
    </w:rPr>
  </w:style>
  <w:style w:type="character" w:customStyle="1" w:styleId="TEXTONORMALCar">
    <w:name w:val="TEXTO NORMAL Car"/>
    <w:link w:val="TEXTONORMAL"/>
    <w:rsid w:val="00FC20CD"/>
    <w:rPr>
      <w:rFonts w:ascii="Arial" w:eastAsia="Times New Roman" w:hAnsi="Arial" w:cs="Arial"/>
      <w:sz w:val="28"/>
      <w:szCs w:val="28"/>
      <w:lang w:val="es-ES_tradnl" w:eastAsia="es-ES"/>
    </w:rPr>
  </w:style>
  <w:style w:type="character" w:customStyle="1" w:styleId="EstiloCar">
    <w:name w:val="Estilo Car"/>
    <w:link w:val="Estilo"/>
    <w:locked/>
    <w:rsid w:val="00333182"/>
  </w:style>
  <w:style w:type="paragraph" w:customStyle="1" w:styleId="Estilo">
    <w:name w:val="Estilo"/>
    <w:basedOn w:val="Normal"/>
    <w:link w:val="EstiloCar"/>
    <w:qFormat/>
    <w:rsid w:val="00333182"/>
    <w:pPr>
      <w:spacing w:before="0" w:after="0" w:line="240" w:lineRule="auto"/>
    </w:pPr>
    <w:rPr>
      <w:rFonts w:asciiTheme="minorHAnsi" w:eastAsiaTheme="minorHAnsi" w:hAnsiTheme="minorHAnsi" w:cstheme="minorBidi"/>
      <w:sz w:val="22"/>
      <w:szCs w:val="22"/>
      <w:lang w:eastAsia="en-US"/>
    </w:rPr>
  </w:style>
  <w:style w:type="character" w:customStyle="1" w:styleId="Ttulo4Car">
    <w:name w:val="Título 4 Car"/>
    <w:basedOn w:val="Fuentedeprrafopredeter"/>
    <w:link w:val="Ttulo4"/>
    <w:uiPriority w:val="9"/>
    <w:rsid w:val="00BF04D6"/>
    <w:rPr>
      <w:rFonts w:asciiTheme="majorHAnsi" w:eastAsiaTheme="majorEastAsia" w:hAnsiTheme="majorHAnsi" w:cstheme="majorBidi"/>
      <w:i/>
      <w:iCs/>
      <w:color w:val="2E74B5" w:themeColor="accent1" w:themeShade="BF"/>
      <w:sz w:val="28"/>
      <w:szCs w:val="28"/>
      <w:lang w:eastAsia="es-ES"/>
    </w:rPr>
  </w:style>
  <w:style w:type="character" w:customStyle="1" w:styleId="Ttulo3Car">
    <w:name w:val="Título 3 Car"/>
    <w:basedOn w:val="Fuentedeprrafopredeter"/>
    <w:link w:val="Ttulo3"/>
    <w:uiPriority w:val="9"/>
    <w:rsid w:val="00BF04D6"/>
    <w:rPr>
      <w:rFonts w:asciiTheme="majorHAnsi" w:eastAsiaTheme="majorEastAsia" w:hAnsiTheme="majorHAnsi" w:cstheme="majorBidi"/>
      <w:color w:val="1F4D78" w:themeColor="accent1" w:themeShade="7F"/>
      <w:sz w:val="24"/>
      <w:szCs w:val="24"/>
      <w:lang w:eastAsia="es-ES"/>
    </w:rPr>
  </w:style>
  <w:style w:type="paragraph" w:customStyle="1" w:styleId="CORTE2PONENTE0">
    <w:name w:val="CORTE2 PONENTE"/>
    <w:basedOn w:val="Normal"/>
    <w:rsid w:val="00293569"/>
    <w:pPr>
      <w:spacing w:before="0" w:after="0" w:line="240" w:lineRule="auto"/>
      <w:jc w:val="left"/>
    </w:pPr>
    <w:rPr>
      <w:rFonts w:cs="Times New Roman"/>
      <w:b/>
      <w:sz w:val="30"/>
      <w:szCs w:val="30"/>
    </w:rPr>
  </w:style>
  <w:style w:type="paragraph" w:styleId="TDC1">
    <w:name w:val="toc 1"/>
    <w:basedOn w:val="Normal"/>
    <w:next w:val="Normal"/>
    <w:autoRedefine/>
    <w:uiPriority w:val="39"/>
    <w:unhideWhenUsed/>
    <w:rsid w:val="00293569"/>
    <w:pPr>
      <w:tabs>
        <w:tab w:val="right" w:leader="dot" w:pos="8830"/>
      </w:tabs>
      <w:spacing w:after="100" w:line="276" w:lineRule="auto"/>
      <w:ind w:left="567" w:hanging="567"/>
    </w:pPr>
  </w:style>
  <w:style w:type="character" w:styleId="Hipervnculo">
    <w:name w:val="Hyperlink"/>
    <w:basedOn w:val="Fuentedeprrafopredeter"/>
    <w:uiPriority w:val="99"/>
    <w:unhideWhenUsed/>
    <w:rsid w:val="00293569"/>
    <w:rPr>
      <w:color w:val="0563C1" w:themeColor="hyperlink"/>
      <w:u w:val="single"/>
    </w:rPr>
  </w:style>
  <w:style w:type="character" w:customStyle="1" w:styleId="articulojustificado">
    <w:name w:val="articulojustificado"/>
    <w:basedOn w:val="Fuentedeprrafopredeter"/>
    <w:rsid w:val="00AE115E"/>
  </w:style>
  <w:style w:type="character" w:customStyle="1" w:styleId="lbl-encabezado-negro">
    <w:name w:val="lbl-encabezado-negro"/>
    <w:basedOn w:val="Fuentedeprrafopredeter"/>
    <w:rsid w:val="00213F60"/>
  </w:style>
  <w:style w:type="character" w:customStyle="1" w:styleId="red">
    <w:name w:val="red"/>
    <w:basedOn w:val="Fuentedeprrafopredeter"/>
    <w:rsid w:val="008D3065"/>
  </w:style>
  <w:style w:type="paragraph" w:customStyle="1" w:styleId="Cuadrculamediana1-nfasis21">
    <w:name w:val="Cuadrícula mediana 1 - Énfasis 21"/>
    <w:basedOn w:val="Normal"/>
    <w:uiPriority w:val="34"/>
    <w:qFormat/>
    <w:rsid w:val="006012C1"/>
    <w:pPr>
      <w:spacing w:before="0" w:after="0"/>
      <w:ind w:left="708"/>
    </w:pPr>
    <w:rPr>
      <w:rFonts w:eastAsia="Calibri" w:cs="Times New Roman"/>
      <w:sz w:val="30"/>
      <w:szCs w:val="22"/>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418EB"/>
    <w:pPr>
      <w:spacing w:before="0" w:after="0" w:line="240" w:lineRule="auto"/>
    </w:pPr>
    <w:rPr>
      <w:rFonts w:asciiTheme="minorHAnsi" w:eastAsiaTheme="minorHAnsi" w:hAnsiTheme="minorHAnsi" w:cstheme="minorBidi"/>
      <w:sz w:val="22"/>
      <w:szCs w:val="22"/>
      <w:vertAlign w:val="superscript"/>
      <w:lang w:eastAsia="en-US"/>
    </w:rPr>
  </w:style>
  <w:style w:type="character" w:customStyle="1" w:styleId="NOTASALPIE1Car">
    <w:name w:val="NOTAS AL PIE1 Car"/>
    <w:link w:val="NOTASALPIE1"/>
    <w:rsid w:val="007418EB"/>
    <w:rPr>
      <w:rFonts w:ascii="Arial" w:hAnsi="Arial" w:cs="Arial"/>
      <w:sz w:val="24"/>
      <w:szCs w:val="24"/>
      <w:lang w:eastAsia="es-ES"/>
    </w:rPr>
  </w:style>
  <w:style w:type="paragraph" w:customStyle="1" w:styleId="NOTASALPIE1">
    <w:name w:val="NOTAS AL PIE1"/>
    <w:basedOn w:val="Normal"/>
    <w:link w:val="NOTASALPIE1Car"/>
    <w:rsid w:val="007418EB"/>
    <w:pPr>
      <w:spacing w:before="0" w:after="0" w:line="240" w:lineRule="auto"/>
    </w:pPr>
    <w:rPr>
      <w:rFonts w:eastAsiaTheme="minorHAnsi"/>
      <w:sz w:val="24"/>
      <w:szCs w:val="24"/>
    </w:rPr>
  </w:style>
  <w:style w:type="character" w:customStyle="1" w:styleId="PrrafodelistaCar">
    <w:name w:val="Párrafo de lista Car"/>
    <w:aliases w:val="Cita texto Car,List Paragraph1 Car,TEXTO GENERAL SENTENCIAS Car,Párrafo de lista1 Car,Párrafo de lista2 Car,List Paragraph Car,Lista vistosa - Énfasis 11 Car,Colorful List - Accent 11 Car,Cuadrícula clara - Énfasis 31 Car,Dot pt Car"/>
    <w:link w:val="Prrafodelista"/>
    <w:uiPriority w:val="34"/>
    <w:qFormat/>
    <w:locked/>
    <w:rsid w:val="007418EB"/>
    <w:rPr>
      <w:rFonts w:ascii="Arial" w:eastAsia="Times New Roman" w:hAnsi="Arial" w:cs="Arial"/>
      <w:sz w:val="24"/>
      <w:szCs w:val="28"/>
      <w:lang w:eastAsia="es-ES"/>
    </w:rPr>
  </w:style>
  <w:style w:type="paragraph" w:styleId="NormalWeb">
    <w:name w:val="Normal (Web)"/>
    <w:basedOn w:val="Normal"/>
    <w:uiPriority w:val="99"/>
    <w:unhideWhenUsed/>
    <w:rsid w:val="001723A4"/>
    <w:rPr>
      <w:rFonts w:ascii="Times New Roman" w:hAnsi="Times New Roman" w:cs="Times New Roman"/>
      <w:sz w:val="24"/>
      <w:szCs w:val="24"/>
    </w:rPr>
  </w:style>
  <w:style w:type="paragraph" w:customStyle="1" w:styleId="gmail-estilo">
    <w:name w:val="gmail-estilo"/>
    <w:basedOn w:val="Normal"/>
    <w:rsid w:val="006E2BCB"/>
    <w:pPr>
      <w:spacing w:before="100" w:beforeAutospacing="1" w:after="100" w:afterAutospacing="1" w:line="240" w:lineRule="auto"/>
      <w:jc w:val="left"/>
    </w:pPr>
    <w:rPr>
      <w:rFonts w:ascii="Times New Roman" w:hAnsi="Times New Roman" w:cs="Times New Roman"/>
      <w:sz w:val="24"/>
      <w:szCs w:val="24"/>
      <w:lang w:eastAsia="es-MX"/>
    </w:rPr>
  </w:style>
  <w:style w:type="paragraph" w:styleId="Textoindependiente">
    <w:name w:val="Body Text"/>
    <w:basedOn w:val="Normal"/>
    <w:link w:val="TextoindependienteCar"/>
    <w:uiPriority w:val="1"/>
    <w:qFormat/>
    <w:rsid w:val="00405E89"/>
    <w:pPr>
      <w:spacing w:before="0" w:after="120" w:line="240" w:lineRule="auto"/>
      <w:jc w:val="left"/>
    </w:pPr>
    <w:rPr>
      <w:rFonts w:ascii="Times New Roman" w:hAnsi="Times New Roman" w:cs="Times New Roman"/>
      <w:sz w:val="20"/>
      <w:szCs w:val="20"/>
      <w:lang w:eastAsia="es-MX"/>
    </w:rPr>
  </w:style>
  <w:style w:type="character" w:customStyle="1" w:styleId="TextoindependienteCar">
    <w:name w:val="Texto independiente Car"/>
    <w:basedOn w:val="Fuentedeprrafopredeter"/>
    <w:link w:val="Textoindependiente"/>
    <w:rsid w:val="00405E89"/>
    <w:rPr>
      <w:rFonts w:ascii="Times New Roman" w:eastAsia="Times New Roman" w:hAnsi="Times New Roman" w:cs="Times New Roman"/>
      <w:sz w:val="20"/>
      <w:szCs w:val="20"/>
      <w:lang w:eastAsia="es-MX"/>
    </w:rPr>
  </w:style>
  <w:style w:type="character" w:customStyle="1" w:styleId="Mencinsinresolver1">
    <w:name w:val="Mención sin resolver1"/>
    <w:basedOn w:val="Fuentedeprrafopredeter"/>
    <w:uiPriority w:val="99"/>
    <w:semiHidden/>
    <w:unhideWhenUsed/>
    <w:rsid w:val="00FF7D2D"/>
    <w:rPr>
      <w:color w:val="605E5C"/>
      <w:shd w:val="clear" w:color="auto" w:fill="E1DFDD"/>
    </w:rPr>
  </w:style>
  <w:style w:type="paragraph" w:styleId="Textonotaalfinal">
    <w:name w:val="endnote text"/>
    <w:basedOn w:val="Normal"/>
    <w:link w:val="TextonotaalfinalCar"/>
    <w:uiPriority w:val="99"/>
    <w:semiHidden/>
    <w:unhideWhenUsed/>
    <w:rsid w:val="00617590"/>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17590"/>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617590"/>
    <w:rPr>
      <w:vertAlign w:val="superscript"/>
    </w:rPr>
  </w:style>
  <w:style w:type="character" w:styleId="Textodelmarcadordeposicin">
    <w:name w:val="Placeholder Text"/>
    <w:basedOn w:val="Fuentedeprrafopredeter"/>
    <w:uiPriority w:val="99"/>
    <w:semiHidden/>
    <w:rsid w:val="00DF1E3B"/>
    <w:rPr>
      <w:color w:val="808080"/>
    </w:rPr>
  </w:style>
  <w:style w:type="character" w:customStyle="1" w:styleId="apple-converted-space">
    <w:name w:val="apple-converted-space"/>
    <w:basedOn w:val="Fuentedeprrafopredeter"/>
    <w:rsid w:val="00B17152"/>
  </w:style>
  <w:style w:type="paragraph" w:customStyle="1" w:styleId="Normal0">
    <w:name w:val="[Normal]"/>
    <w:rsid w:val="008A2856"/>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styleId="Refdecomentario">
    <w:name w:val="annotation reference"/>
    <w:basedOn w:val="Fuentedeprrafopredeter"/>
    <w:uiPriority w:val="99"/>
    <w:semiHidden/>
    <w:unhideWhenUsed/>
    <w:rsid w:val="001F3A1E"/>
    <w:rPr>
      <w:sz w:val="16"/>
      <w:szCs w:val="16"/>
    </w:rPr>
  </w:style>
  <w:style w:type="paragraph" w:styleId="Textocomentario">
    <w:name w:val="annotation text"/>
    <w:basedOn w:val="Normal"/>
    <w:link w:val="TextocomentarioCar"/>
    <w:uiPriority w:val="99"/>
    <w:semiHidden/>
    <w:unhideWhenUsed/>
    <w:rsid w:val="001F3A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3A1E"/>
    <w:rPr>
      <w:rFonts w:ascii="Arial" w:eastAsia="Times New Roman" w:hAnsi="Arial"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3A1E"/>
    <w:rPr>
      <w:b/>
      <w:bCs/>
    </w:rPr>
  </w:style>
  <w:style w:type="character" w:customStyle="1" w:styleId="AsuntodelcomentarioCar">
    <w:name w:val="Asunto del comentario Car"/>
    <w:basedOn w:val="TextocomentarioCar"/>
    <w:link w:val="Asuntodelcomentario"/>
    <w:uiPriority w:val="99"/>
    <w:semiHidden/>
    <w:rsid w:val="001F3A1E"/>
    <w:rPr>
      <w:rFonts w:ascii="Arial" w:eastAsia="Times New Roman" w:hAnsi="Arial" w:cs="Arial"/>
      <w:b/>
      <w:bCs/>
      <w:sz w:val="20"/>
      <w:szCs w:val="20"/>
      <w:lang w:eastAsia="es-ES"/>
    </w:rPr>
  </w:style>
  <w:style w:type="paragraph" w:customStyle="1" w:styleId="temp">
    <w:name w:val="temp"/>
    <w:basedOn w:val="Normal"/>
    <w:rsid w:val="0072187E"/>
    <w:pPr>
      <w:spacing w:before="100" w:beforeAutospacing="1" w:after="100" w:afterAutospacing="1" w:line="240" w:lineRule="auto"/>
      <w:jc w:val="left"/>
    </w:pPr>
    <w:rPr>
      <w:rFonts w:ascii="Times New Roman" w:hAnsi="Times New Roman" w:cs="Times New Roman"/>
      <w:sz w:val="24"/>
      <w:szCs w:val="24"/>
      <w:lang w:eastAsia="es-MX"/>
    </w:rPr>
  </w:style>
  <w:style w:type="character" w:customStyle="1" w:styleId="bold">
    <w:name w:val="bold"/>
    <w:basedOn w:val="Fuentedeprrafopredeter"/>
    <w:rsid w:val="0072187E"/>
  </w:style>
  <w:style w:type="character" w:customStyle="1" w:styleId="ng-star-inserted">
    <w:name w:val="ng-star-inserted"/>
    <w:basedOn w:val="Fuentedeprrafopredeter"/>
    <w:rsid w:val="0072187E"/>
  </w:style>
  <w:style w:type="paragraph" w:styleId="ndice1">
    <w:name w:val="index 1"/>
    <w:basedOn w:val="Normal"/>
    <w:next w:val="Normal"/>
    <w:autoRedefine/>
    <w:uiPriority w:val="99"/>
    <w:unhideWhenUsed/>
    <w:rsid w:val="008E4306"/>
    <w:pPr>
      <w:spacing w:before="0" w:after="0"/>
      <w:ind w:left="280" w:hanging="280"/>
      <w:jc w:val="left"/>
    </w:pPr>
    <w:rPr>
      <w:rFonts w:asciiTheme="minorHAnsi" w:hAnsiTheme="minorHAnsi" w:cstheme="minorHAnsi"/>
      <w:sz w:val="20"/>
      <w:szCs w:val="20"/>
    </w:rPr>
  </w:style>
  <w:style w:type="paragraph" w:styleId="ndice2">
    <w:name w:val="index 2"/>
    <w:basedOn w:val="Normal"/>
    <w:next w:val="Normal"/>
    <w:autoRedefine/>
    <w:uiPriority w:val="99"/>
    <w:unhideWhenUsed/>
    <w:rsid w:val="008E4306"/>
    <w:pPr>
      <w:spacing w:before="0" w:after="0"/>
      <w:ind w:left="560" w:hanging="280"/>
      <w:jc w:val="left"/>
    </w:pPr>
    <w:rPr>
      <w:rFonts w:asciiTheme="minorHAnsi" w:hAnsiTheme="minorHAnsi" w:cstheme="minorHAnsi"/>
      <w:sz w:val="20"/>
      <w:szCs w:val="20"/>
    </w:rPr>
  </w:style>
  <w:style w:type="paragraph" w:styleId="ndice3">
    <w:name w:val="index 3"/>
    <w:basedOn w:val="Normal"/>
    <w:next w:val="Normal"/>
    <w:autoRedefine/>
    <w:uiPriority w:val="99"/>
    <w:unhideWhenUsed/>
    <w:rsid w:val="008E4306"/>
    <w:pPr>
      <w:spacing w:before="0" w:after="0"/>
      <w:ind w:left="840" w:hanging="280"/>
      <w:jc w:val="left"/>
    </w:pPr>
    <w:rPr>
      <w:rFonts w:asciiTheme="minorHAnsi" w:hAnsiTheme="minorHAnsi" w:cstheme="minorHAnsi"/>
      <w:sz w:val="20"/>
      <w:szCs w:val="20"/>
    </w:rPr>
  </w:style>
  <w:style w:type="paragraph" w:styleId="ndice4">
    <w:name w:val="index 4"/>
    <w:basedOn w:val="Normal"/>
    <w:next w:val="Normal"/>
    <w:autoRedefine/>
    <w:uiPriority w:val="99"/>
    <w:unhideWhenUsed/>
    <w:rsid w:val="008E4306"/>
    <w:pPr>
      <w:spacing w:before="0" w:after="0"/>
      <w:ind w:left="1120" w:hanging="280"/>
      <w:jc w:val="left"/>
    </w:pPr>
    <w:rPr>
      <w:rFonts w:asciiTheme="minorHAnsi" w:hAnsiTheme="minorHAnsi" w:cstheme="minorHAnsi"/>
      <w:sz w:val="20"/>
      <w:szCs w:val="20"/>
    </w:rPr>
  </w:style>
  <w:style w:type="paragraph" w:styleId="ndice5">
    <w:name w:val="index 5"/>
    <w:basedOn w:val="Normal"/>
    <w:next w:val="Normal"/>
    <w:autoRedefine/>
    <w:uiPriority w:val="99"/>
    <w:unhideWhenUsed/>
    <w:rsid w:val="008E4306"/>
    <w:pPr>
      <w:spacing w:before="0" w:after="0"/>
      <w:ind w:left="1400" w:hanging="280"/>
      <w:jc w:val="left"/>
    </w:pPr>
    <w:rPr>
      <w:rFonts w:asciiTheme="minorHAnsi" w:hAnsiTheme="minorHAnsi" w:cstheme="minorHAnsi"/>
      <w:sz w:val="20"/>
      <w:szCs w:val="20"/>
    </w:rPr>
  </w:style>
  <w:style w:type="paragraph" w:styleId="ndice6">
    <w:name w:val="index 6"/>
    <w:basedOn w:val="Normal"/>
    <w:next w:val="Normal"/>
    <w:autoRedefine/>
    <w:uiPriority w:val="99"/>
    <w:unhideWhenUsed/>
    <w:rsid w:val="008E4306"/>
    <w:pPr>
      <w:spacing w:before="0" w:after="0"/>
      <w:ind w:left="1680" w:hanging="280"/>
      <w:jc w:val="left"/>
    </w:pPr>
    <w:rPr>
      <w:rFonts w:asciiTheme="minorHAnsi" w:hAnsiTheme="minorHAnsi" w:cstheme="minorHAnsi"/>
      <w:sz w:val="20"/>
      <w:szCs w:val="20"/>
    </w:rPr>
  </w:style>
  <w:style w:type="paragraph" w:styleId="ndice7">
    <w:name w:val="index 7"/>
    <w:basedOn w:val="Normal"/>
    <w:next w:val="Normal"/>
    <w:autoRedefine/>
    <w:uiPriority w:val="99"/>
    <w:unhideWhenUsed/>
    <w:rsid w:val="008E4306"/>
    <w:pPr>
      <w:spacing w:before="0" w:after="0"/>
      <w:ind w:left="1960" w:hanging="280"/>
      <w:jc w:val="left"/>
    </w:pPr>
    <w:rPr>
      <w:rFonts w:asciiTheme="minorHAnsi" w:hAnsiTheme="minorHAnsi" w:cstheme="minorHAnsi"/>
      <w:sz w:val="20"/>
      <w:szCs w:val="20"/>
    </w:rPr>
  </w:style>
  <w:style w:type="paragraph" w:styleId="ndice8">
    <w:name w:val="index 8"/>
    <w:basedOn w:val="Normal"/>
    <w:next w:val="Normal"/>
    <w:autoRedefine/>
    <w:uiPriority w:val="99"/>
    <w:unhideWhenUsed/>
    <w:rsid w:val="008E4306"/>
    <w:pPr>
      <w:spacing w:before="0" w:after="0"/>
      <w:ind w:left="2240" w:hanging="280"/>
      <w:jc w:val="left"/>
    </w:pPr>
    <w:rPr>
      <w:rFonts w:asciiTheme="minorHAnsi" w:hAnsiTheme="minorHAnsi" w:cstheme="minorHAnsi"/>
      <w:sz w:val="20"/>
      <w:szCs w:val="20"/>
    </w:rPr>
  </w:style>
  <w:style w:type="paragraph" w:styleId="ndice9">
    <w:name w:val="index 9"/>
    <w:basedOn w:val="Normal"/>
    <w:next w:val="Normal"/>
    <w:autoRedefine/>
    <w:uiPriority w:val="99"/>
    <w:unhideWhenUsed/>
    <w:rsid w:val="008E4306"/>
    <w:pPr>
      <w:spacing w:before="0" w:after="0"/>
      <w:ind w:left="2520" w:hanging="280"/>
      <w:jc w:val="left"/>
    </w:pPr>
    <w:rPr>
      <w:rFonts w:asciiTheme="minorHAnsi" w:hAnsiTheme="minorHAnsi" w:cstheme="minorHAnsi"/>
      <w:sz w:val="20"/>
      <w:szCs w:val="20"/>
    </w:rPr>
  </w:style>
  <w:style w:type="paragraph" w:styleId="Ttulodendice">
    <w:name w:val="index heading"/>
    <w:basedOn w:val="Normal"/>
    <w:next w:val="ndice1"/>
    <w:uiPriority w:val="99"/>
    <w:unhideWhenUsed/>
    <w:rsid w:val="008E4306"/>
    <w:pPr>
      <w:spacing w:after="120"/>
      <w:jc w:val="left"/>
    </w:pPr>
    <w:rPr>
      <w:rFonts w:asciiTheme="minorHAnsi" w:hAnsiTheme="minorHAnsi" w:cstheme="minorHAnsi"/>
      <w:b/>
      <w:bCs/>
      <w:i/>
      <w:iCs/>
      <w:sz w:val="20"/>
      <w:szCs w:val="20"/>
    </w:rPr>
  </w:style>
  <w:style w:type="paragraph" w:styleId="Revisin">
    <w:name w:val="Revision"/>
    <w:hidden/>
    <w:uiPriority w:val="99"/>
    <w:semiHidden/>
    <w:rsid w:val="00B75E3B"/>
    <w:pPr>
      <w:spacing w:after="0" w:line="240" w:lineRule="auto"/>
    </w:pPr>
    <w:rPr>
      <w:rFonts w:ascii="Arial" w:eastAsia="Times New Roman" w:hAnsi="Arial" w:cs="Arial"/>
      <w:sz w:val="28"/>
      <w:szCs w:val="28"/>
      <w:lang w:eastAsia="es-ES"/>
    </w:rPr>
  </w:style>
  <w:style w:type="character" w:customStyle="1" w:styleId="corte4fondoCar0">
    <w:name w:val="corte 4 fondo Car"/>
    <w:link w:val="corte4fondo0"/>
    <w:locked/>
    <w:rsid w:val="005554E4"/>
    <w:rPr>
      <w:rFonts w:ascii="Arial" w:hAnsi="Arial" w:cs="Arial"/>
      <w:sz w:val="30"/>
      <w:lang w:val="es-ES_tradnl"/>
    </w:rPr>
  </w:style>
  <w:style w:type="paragraph" w:customStyle="1" w:styleId="corte4fondo0">
    <w:name w:val="corte 4 fondo"/>
    <w:basedOn w:val="corte4fondo"/>
    <w:link w:val="corte4fondoCar0"/>
    <w:qFormat/>
    <w:rsid w:val="005554E4"/>
    <w:rPr>
      <w:rFonts w:eastAsiaTheme="minorHAnsi" w:cs="Arial"/>
      <w:szCs w:val="22"/>
      <w:lang w:val="es-ES_tradnl" w:eastAsia="en-US"/>
    </w:rPr>
  </w:style>
  <w:style w:type="character" w:customStyle="1" w:styleId="Mencinsinresolver2">
    <w:name w:val="Mención sin resolver2"/>
    <w:basedOn w:val="Fuentedeprrafopredeter"/>
    <w:uiPriority w:val="99"/>
    <w:semiHidden/>
    <w:unhideWhenUsed/>
    <w:rsid w:val="0074207D"/>
    <w:rPr>
      <w:color w:val="605E5C"/>
      <w:shd w:val="clear" w:color="auto" w:fill="E1DFDD"/>
    </w:rPr>
  </w:style>
  <w:style w:type="character" w:styleId="Hipervnculovisitado">
    <w:name w:val="FollowedHyperlink"/>
    <w:basedOn w:val="Fuentedeprrafopredeter"/>
    <w:uiPriority w:val="99"/>
    <w:semiHidden/>
    <w:unhideWhenUsed/>
    <w:rsid w:val="00595B3D"/>
    <w:rPr>
      <w:color w:val="954F72" w:themeColor="followedHyperlink"/>
      <w:u w:val="single"/>
    </w:rPr>
  </w:style>
  <w:style w:type="character" w:customStyle="1" w:styleId="corte4fondoCar2">
    <w:name w:val="corte4 fondo Car2"/>
    <w:rsid w:val="008A4D85"/>
    <w:rPr>
      <w:rFonts w:ascii="Arial" w:eastAsia="Times New Roman" w:hAnsi="Arial" w:cs="Times New Roman"/>
      <w:sz w:val="30"/>
      <w:szCs w:val="20"/>
      <w:lang w:val="es-ES_tradnl" w:eastAsia="es-ES"/>
    </w:rPr>
  </w:style>
  <w:style w:type="character" w:styleId="Nmerodepgina">
    <w:name w:val="page number"/>
    <w:basedOn w:val="Fuentedeprrafopredeter"/>
    <w:uiPriority w:val="99"/>
    <w:semiHidden/>
    <w:unhideWhenUsed/>
    <w:rsid w:val="000D2FAF"/>
  </w:style>
  <w:style w:type="character" w:customStyle="1" w:styleId="Mencinsinresolver3">
    <w:name w:val="Mención sin resolver3"/>
    <w:basedOn w:val="Fuentedeprrafopredeter"/>
    <w:uiPriority w:val="99"/>
    <w:semiHidden/>
    <w:unhideWhenUsed/>
    <w:rsid w:val="006C2C8D"/>
    <w:rPr>
      <w:color w:val="605E5C"/>
      <w:shd w:val="clear" w:color="auto" w:fill="E1DFDD"/>
    </w:rPr>
  </w:style>
  <w:style w:type="paragraph" w:customStyle="1" w:styleId="Textodebloque1">
    <w:name w:val="Texto de bloque1"/>
    <w:basedOn w:val="Normal"/>
    <w:rsid w:val="00694C85"/>
    <w:pPr>
      <w:spacing w:before="0" w:after="0" w:line="240" w:lineRule="auto"/>
      <w:ind w:left="1843" w:right="28"/>
    </w:pPr>
    <w:rPr>
      <w:rFonts w:cs="Times New Roman"/>
      <w:b/>
      <w:sz w:val="24"/>
      <w:szCs w:val="20"/>
      <w:lang w:val="es-ES_tradnl"/>
    </w:rPr>
  </w:style>
  <w:style w:type="table" w:customStyle="1" w:styleId="Tablaconcuadrcula1">
    <w:name w:val="Tabla con cuadrícula1"/>
    <w:basedOn w:val="Tablanormal"/>
    <w:next w:val="Tablaconcuadrcula"/>
    <w:uiPriority w:val="39"/>
    <w:rsid w:val="00BB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sncripcinCar">
    <w:name w:val="Trasncripción Car"/>
    <w:link w:val="Trasncripcin"/>
    <w:locked/>
    <w:rsid w:val="00CF7E75"/>
    <w:rPr>
      <w:lang w:val="es-ES_tradnl"/>
    </w:rPr>
  </w:style>
  <w:style w:type="paragraph" w:customStyle="1" w:styleId="Trasncripcin">
    <w:name w:val="Trasncripción"/>
    <w:basedOn w:val="Normal"/>
    <w:link w:val="TrasncripcinCar"/>
    <w:autoRedefine/>
    <w:qFormat/>
    <w:rsid w:val="00CF7E75"/>
    <w:pPr>
      <w:spacing w:before="0" w:after="0" w:line="240" w:lineRule="auto"/>
      <w:ind w:left="709" w:right="709"/>
    </w:pPr>
    <w:rPr>
      <w:rFonts w:asciiTheme="minorHAnsi" w:eastAsiaTheme="minorHAnsi" w:hAnsiTheme="minorHAnsi" w:cstheme="minorBidi"/>
      <w:sz w:val="22"/>
      <w:szCs w:val="22"/>
      <w:lang w:val="es-ES_tradnl" w:eastAsia="en-US"/>
    </w:rPr>
  </w:style>
  <w:style w:type="table" w:customStyle="1" w:styleId="Tablaconcuadrcula4-nfasis11">
    <w:name w:val="Tabla con cuadrícula 4 - Énfasis 11"/>
    <w:basedOn w:val="Tablanormal"/>
    <w:next w:val="Tablaconcuadrcula4-nfasis1"/>
    <w:uiPriority w:val="49"/>
    <w:rsid w:val="0064254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64254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39"/>
    <w:rsid w:val="002F138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yectoPleno">
    <w:name w:val="proyecto Pleno"/>
    <w:basedOn w:val="Normal"/>
    <w:link w:val="proyectoPlenoCar"/>
    <w:qFormat/>
    <w:rsid w:val="00711EFA"/>
    <w:pPr>
      <w:spacing w:before="0" w:after="160"/>
      <w:ind w:firstLine="567"/>
    </w:pPr>
    <w:rPr>
      <w:rFonts w:eastAsia="Calibri"/>
    </w:rPr>
  </w:style>
  <w:style w:type="character" w:customStyle="1" w:styleId="proyectoPlenoCar">
    <w:name w:val="proyecto Pleno Car"/>
    <w:basedOn w:val="Fuentedeprrafopredeter"/>
    <w:link w:val="proyectoPleno"/>
    <w:rsid w:val="00711EFA"/>
    <w:rPr>
      <w:rFonts w:ascii="Arial" w:eastAsia="Calibri" w:hAnsi="Arial" w:cs="Arial"/>
      <w:sz w:val="28"/>
      <w:szCs w:val="28"/>
      <w:lang w:eastAsia="es-ES"/>
    </w:rPr>
  </w:style>
  <w:style w:type="paragraph" w:styleId="Listaconvietas2">
    <w:name w:val="List Bullet 2"/>
    <w:basedOn w:val="Normal"/>
    <w:uiPriority w:val="99"/>
    <w:unhideWhenUsed/>
    <w:rsid w:val="00AD21E0"/>
    <w:pPr>
      <w:numPr>
        <w:numId w:val="5"/>
      </w:numPr>
      <w:spacing w:before="0" w:after="0" w:line="240" w:lineRule="auto"/>
      <w:contextualSpacing/>
    </w:pPr>
    <w:rPr>
      <w:rFonts w:cs="Times New Roman"/>
      <w:szCs w:val="20"/>
      <w:lang w:val="es-ES" w:eastAsia="es-MX"/>
    </w:rPr>
  </w:style>
  <w:style w:type="table" w:customStyle="1" w:styleId="Tablaconcuadrcula3">
    <w:name w:val="Tabla con cuadrícula3"/>
    <w:basedOn w:val="Tablanormal"/>
    <w:next w:val="Tablaconcuadrcula"/>
    <w:uiPriority w:val="39"/>
    <w:rsid w:val="00C5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3">
    <w:name w:val="List Table 3 Accent 3"/>
    <w:basedOn w:val="Tablanormal"/>
    <w:uiPriority w:val="48"/>
    <w:rsid w:val="006100C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corte5transcripcionCar2">
    <w:name w:val="corte5 transcripcion Car2"/>
    <w:basedOn w:val="Fuentedeprrafopredeter"/>
    <w:rsid w:val="0001613E"/>
    <w:rPr>
      <w:rFonts w:ascii="Arial" w:eastAsia="Times New Roman" w:hAnsi="Arial" w:cs="Times New Roman"/>
      <w:b/>
      <w:i/>
      <w:sz w:val="30"/>
      <w:szCs w:val="20"/>
      <w:lang w:val="es-ES_tradnl" w:eastAsia="es-ES"/>
    </w:rPr>
  </w:style>
  <w:style w:type="character" w:customStyle="1" w:styleId="Ttulo5Car">
    <w:name w:val="Título 5 Car"/>
    <w:basedOn w:val="Fuentedeprrafopredeter"/>
    <w:link w:val="Ttulo5"/>
    <w:uiPriority w:val="9"/>
    <w:rsid w:val="00D323C7"/>
    <w:rPr>
      <w:rFonts w:asciiTheme="majorHAnsi" w:eastAsiaTheme="majorEastAsia" w:hAnsiTheme="majorHAnsi" w:cstheme="majorBidi"/>
      <w:color w:val="2E74B5" w:themeColor="accent1" w:themeShade="BF"/>
      <w:sz w:val="28"/>
      <w:szCs w:val="28"/>
      <w:lang w:eastAsia="es-ES"/>
    </w:rPr>
  </w:style>
  <w:style w:type="character" w:customStyle="1" w:styleId="Ttulo6Car">
    <w:name w:val="Título 6 Car"/>
    <w:basedOn w:val="Fuentedeprrafopredeter"/>
    <w:link w:val="Ttulo6"/>
    <w:uiPriority w:val="9"/>
    <w:rsid w:val="00D323C7"/>
    <w:rPr>
      <w:rFonts w:asciiTheme="majorHAnsi" w:eastAsiaTheme="majorEastAsia" w:hAnsiTheme="majorHAnsi" w:cstheme="majorBidi"/>
      <w:color w:val="1F4D78" w:themeColor="accent1" w:themeShade="7F"/>
      <w:sz w:val="28"/>
      <w:szCs w:val="28"/>
      <w:lang w:eastAsia="es-ES"/>
    </w:rPr>
  </w:style>
  <w:style w:type="paragraph" w:styleId="Lista2">
    <w:name w:val="List 2"/>
    <w:basedOn w:val="Normal"/>
    <w:uiPriority w:val="99"/>
    <w:unhideWhenUsed/>
    <w:rsid w:val="00D323C7"/>
    <w:pPr>
      <w:ind w:left="566" w:hanging="283"/>
      <w:contextualSpacing/>
    </w:pPr>
  </w:style>
  <w:style w:type="paragraph" w:styleId="Lista3">
    <w:name w:val="List 3"/>
    <w:basedOn w:val="Normal"/>
    <w:uiPriority w:val="99"/>
    <w:unhideWhenUsed/>
    <w:rsid w:val="00D323C7"/>
    <w:pPr>
      <w:ind w:left="849" w:hanging="283"/>
      <w:contextualSpacing/>
    </w:pPr>
  </w:style>
  <w:style w:type="paragraph" w:styleId="Continuarlista">
    <w:name w:val="List Continue"/>
    <w:basedOn w:val="Normal"/>
    <w:uiPriority w:val="99"/>
    <w:unhideWhenUsed/>
    <w:rsid w:val="00D323C7"/>
    <w:pPr>
      <w:spacing w:after="120"/>
      <w:ind w:left="283"/>
      <w:contextualSpacing/>
    </w:pPr>
  </w:style>
  <w:style w:type="paragraph" w:customStyle="1" w:styleId="corte5transcripcionCarCarCarCarCarCarCarCar">
    <w:name w:val="corte5 transcripcion Car Car Car Car Car Car Car Car"/>
    <w:basedOn w:val="Normal"/>
    <w:link w:val="corte5transcripcionCarCarCarCarCarCarCarCarCar"/>
    <w:rsid w:val="00746C09"/>
    <w:pPr>
      <w:spacing w:before="0" w:after="0"/>
      <w:ind w:left="709" w:right="709"/>
    </w:pPr>
    <w:rPr>
      <w:rFonts w:cs="Times New Roman"/>
      <w:b/>
      <w:i/>
      <w:sz w:val="30"/>
      <w:szCs w:val="20"/>
      <w:lang w:val="es-ES_tradnl" w:eastAsia="es-MX"/>
    </w:rPr>
  </w:style>
  <w:style w:type="character" w:customStyle="1" w:styleId="corte5transcripcionCarCarCarCarCarCarCarCarCar">
    <w:name w:val="corte5 transcripcion Car Car Car Car Car Car Car Car Car"/>
    <w:link w:val="corte5transcripcionCarCarCarCarCarCarCarCar"/>
    <w:rsid w:val="00746C09"/>
    <w:rPr>
      <w:rFonts w:ascii="Arial" w:eastAsia="Times New Roman" w:hAnsi="Arial" w:cs="Times New Roman"/>
      <w:b/>
      <w:i/>
      <w:sz w:val="30"/>
      <w:szCs w:val="20"/>
      <w:lang w:val="es-ES_tradnl" w:eastAsia="es-MX"/>
    </w:rPr>
  </w:style>
  <w:style w:type="paragraph" w:customStyle="1" w:styleId="CORTE1DATOS0">
    <w:name w:val="CORTE1 DATOS"/>
    <w:basedOn w:val="Normal"/>
    <w:rsid w:val="00211394"/>
    <w:pPr>
      <w:spacing w:before="0" w:after="0" w:line="240" w:lineRule="auto"/>
      <w:ind w:left="2552"/>
      <w:jc w:val="left"/>
    </w:pPr>
    <w:rPr>
      <w:rFonts w:cs="Times New Roman"/>
      <w:b/>
      <w:sz w:val="30"/>
      <w:szCs w:val="30"/>
    </w:rPr>
  </w:style>
  <w:style w:type="character" w:customStyle="1" w:styleId="corte1datosCar">
    <w:name w:val="corte1 datos Car"/>
    <w:link w:val="corte1datos"/>
    <w:rsid w:val="00211394"/>
    <w:rPr>
      <w:rFonts w:ascii="Arial" w:eastAsia="Times New Roman" w:hAnsi="Arial" w:cs="Times New Roman"/>
      <w:b/>
      <w:caps/>
      <w:sz w:val="30"/>
      <w:szCs w:val="20"/>
      <w:lang w:val="es-ES_tradnl" w:eastAsia="es-ES"/>
    </w:rPr>
  </w:style>
  <w:style w:type="paragraph" w:customStyle="1" w:styleId="NormalNmerado">
    <w:name w:val="Normal Númerado"/>
    <w:basedOn w:val="NormalWeb"/>
    <w:link w:val="NormalNmeradoCar"/>
    <w:qFormat/>
    <w:rsid w:val="00502CA5"/>
    <w:pPr>
      <w:widowControl w:val="0"/>
      <w:numPr>
        <w:numId w:val="11"/>
      </w:numPr>
      <w:spacing w:before="240"/>
    </w:pPr>
    <w:rPr>
      <w:rFonts w:ascii="Univers" w:eastAsia="Arial Unicode MS" w:hAnsi="Univers" w:cs="Arial"/>
      <w:bCs/>
      <w:iCs/>
      <w:sz w:val="28"/>
      <w:szCs w:val="28"/>
      <w:lang w:eastAsia="es-MX"/>
    </w:rPr>
  </w:style>
  <w:style w:type="character" w:customStyle="1" w:styleId="NormalNmeradoCar">
    <w:name w:val="Normal Númerado Car"/>
    <w:basedOn w:val="Fuentedeprrafopredeter"/>
    <w:link w:val="NormalNmerado"/>
    <w:locked/>
    <w:rsid w:val="00502CA5"/>
    <w:rPr>
      <w:rFonts w:ascii="Univers" w:eastAsia="Arial Unicode MS" w:hAnsi="Univers" w:cs="Arial"/>
      <w:bCs/>
      <w:iCs/>
      <w:sz w:val="28"/>
      <w:szCs w:val="28"/>
      <w:lang w:eastAsia="es-MX"/>
    </w:rPr>
  </w:style>
  <w:style w:type="paragraph" w:customStyle="1" w:styleId="Textoindependiente21">
    <w:name w:val="Texto independiente 21"/>
    <w:basedOn w:val="Normal"/>
    <w:rsid w:val="0028680B"/>
    <w:pPr>
      <w:widowControl w:val="0"/>
      <w:spacing w:before="0" w:after="0"/>
      <w:ind w:firstLine="720"/>
    </w:pPr>
    <w:rPr>
      <w:rFonts w:cs="Times New Roman"/>
      <w:sz w:val="30"/>
      <w:szCs w:val="20"/>
      <w:lang w:val="es-ES_tradnl"/>
    </w:rPr>
  </w:style>
  <w:style w:type="paragraph" w:customStyle="1" w:styleId="CarCar1CarCarCar">
    <w:name w:val="Car Car1 Car Car Car"/>
    <w:basedOn w:val="Normal"/>
    <w:rsid w:val="00D31007"/>
    <w:pPr>
      <w:spacing w:before="0" w:after="160" w:line="240" w:lineRule="exact"/>
      <w:jc w:val="right"/>
    </w:pPr>
    <w:rPr>
      <w:rFonts w:ascii="Verdana" w:hAnsi="Verdana"/>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35">
      <w:bodyDiv w:val="1"/>
      <w:marLeft w:val="0"/>
      <w:marRight w:val="0"/>
      <w:marTop w:val="0"/>
      <w:marBottom w:val="0"/>
      <w:divBdr>
        <w:top w:val="none" w:sz="0" w:space="0" w:color="auto"/>
        <w:left w:val="none" w:sz="0" w:space="0" w:color="auto"/>
        <w:bottom w:val="none" w:sz="0" w:space="0" w:color="auto"/>
        <w:right w:val="none" w:sz="0" w:space="0" w:color="auto"/>
      </w:divBdr>
      <w:divsChild>
        <w:div w:id="656541443">
          <w:marLeft w:val="0"/>
          <w:marRight w:val="0"/>
          <w:marTop w:val="0"/>
          <w:marBottom w:val="0"/>
          <w:divBdr>
            <w:top w:val="none" w:sz="0" w:space="0" w:color="auto"/>
            <w:left w:val="none" w:sz="0" w:space="0" w:color="auto"/>
            <w:bottom w:val="none" w:sz="0" w:space="0" w:color="auto"/>
            <w:right w:val="none" w:sz="0" w:space="0" w:color="auto"/>
          </w:divBdr>
          <w:divsChild>
            <w:div w:id="1695689118">
              <w:marLeft w:val="0"/>
              <w:marRight w:val="0"/>
              <w:marTop w:val="0"/>
              <w:marBottom w:val="0"/>
              <w:divBdr>
                <w:top w:val="none" w:sz="0" w:space="0" w:color="auto"/>
                <w:left w:val="none" w:sz="0" w:space="0" w:color="auto"/>
                <w:bottom w:val="none" w:sz="0" w:space="0" w:color="auto"/>
                <w:right w:val="none" w:sz="0" w:space="0" w:color="auto"/>
              </w:divBdr>
              <w:divsChild>
                <w:div w:id="5659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93626">
      <w:bodyDiv w:val="1"/>
      <w:marLeft w:val="0"/>
      <w:marRight w:val="0"/>
      <w:marTop w:val="0"/>
      <w:marBottom w:val="0"/>
      <w:divBdr>
        <w:top w:val="none" w:sz="0" w:space="0" w:color="auto"/>
        <w:left w:val="none" w:sz="0" w:space="0" w:color="auto"/>
        <w:bottom w:val="none" w:sz="0" w:space="0" w:color="auto"/>
        <w:right w:val="none" w:sz="0" w:space="0" w:color="auto"/>
      </w:divBdr>
      <w:divsChild>
        <w:div w:id="269632827">
          <w:marLeft w:val="0"/>
          <w:marRight w:val="0"/>
          <w:marTop w:val="0"/>
          <w:marBottom w:val="0"/>
          <w:divBdr>
            <w:top w:val="none" w:sz="0" w:space="0" w:color="auto"/>
            <w:left w:val="none" w:sz="0" w:space="0" w:color="auto"/>
            <w:bottom w:val="none" w:sz="0" w:space="0" w:color="auto"/>
            <w:right w:val="none" w:sz="0" w:space="0" w:color="auto"/>
          </w:divBdr>
          <w:divsChild>
            <w:div w:id="434061193">
              <w:marLeft w:val="0"/>
              <w:marRight w:val="0"/>
              <w:marTop w:val="0"/>
              <w:marBottom w:val="0"/>
              <w:divBdr>
                <w:top w:val="none" w:sz="0" w:space="0" w:color="auto"/>
                <w:left w:val="none" w:sz="0" w:space="0" w:color="auto"/>
                <w:bottom w:val="none" w:sz="0" w:space="0" w:color="auto"/>
                <w:right w:val="none" w:sz="0" w:space="0" w:color="auto"/>
              </w:divBdr>
              <w:divsChild>
                <w:div w:id="8148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9735">
      <w:bodyDiv w:val="1"/>
      <w:marLeft w:val="0"/>
      <w:marRight w:val="0"/>
      <w:marTop w:val="0"/>
      <w:marBottom w:val="0"/>
      <w:divBdr>
        <w:top w:val="none" w:sz="0" w:space="0" w:color="auto"/>
        <w:left w:val="none" w:sz="0" w:space="0" w:color="auto"/>
        <w:bottom w:val="none" w:sz="0" w:space="0" w:color="auto"/>
        <w:right w:val="none" w:sz="0" w:space="0" w:color="auto"/>
      </w:divBdr>
    </w:div>
    <w:div w:id="46296902">
      <w:bodyDiv w:val="1"/>
      <w:marLeft w:val="0"/>
      <w:marRight w:val="0"/>
      <w:marTop w:val="0"/>
      <w:marBottom w:val="0"/>
      <w:divBdr>
        <w:top w:val="none" w:sz="0" w:space="0" w:color="auto"/>
        <w:left w:val="none" w:sz="0" w:space="0" w:color="auto"/>
        <w:bottom w:val="none" w:sz="0" w:space="0" w:color="auto"/>
        <w:right w:val="none" w:sz="0" w:space="0" w:color="auto"/>
      </w:divBdr>
      <w:divsChild>
        <w:div w:id="2060202424">
          <w:marLeft w:val="0"/>
          <w:marRight w:val="0"/>
          <w:marTop w:val="0"/>
          <w:marBottom w:val="0"/>
          <w:divBdr>
            <w:top w:val="none" w:sz="0" w:space="0" w:color="auto"/>
            <w:left w:val="none" w:sz="0" w:space="0" w:color="auto"/>
            <w:bottom w:val="none" w:sz="0" w:space="0" w:color="auto"/>
            <w:right w:val="none" w:sz="0" w:space="0" w:color="auto"/>
          </w:divBdr>
          <w:divsChild>
            <w:div w:id="1607499241">
              <w:marLeft w:val="0"/>
              <w:marRight w:val="0"/>
              <w:marTop w:val="0"/>
              <w:marBottom w:val="0"/>
              <w:divBdr>
                <w:top w:val="none" w:sz="0" w:space="0" w:color="auto"/>
                <w:left w:val="none" w:sz="0" w:space="0" w:color="auto"/>
                <w:bottom w:val="none" w:sz="0" w:space="0" w:color="auto"/>
                <w:right w:val="none" w:sz="0" w:space="0" w:color="auto"/>
              </w:divBdr>
              <w:divsChild>
                <w:div w:id="10411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8145">
      <w:bodyDiv w:val="1"/>
      <w:marLeft w:val="0"/>
      <w:marRight w:val="0"/>
      <w:marTop w:val="0"/>
      <w:marBottom w:val="0"/>
      <w:divBdr>
        <w:top w:val="none" w:sz="0" w:space="0" w:color="auto"/>
        <w:left w:val="none" w:sz="0" w:space="0" w:color="auto"/>
        <w:bottom w:val="none" w:sz="0" w:space="0" w:color="auto"/>
        <w:right w:val="none" w:sz="0" w:space="0" w:color="auto"/>
      </w:divBdr>
      <w:divsChild>
        <w:div w:id="1851797794">
          <w:marLeft w:val="0"/>
          <w:marRight w:val="0"/>
          <w:marTop w:val="0"/>
          <w:marBottom w:val="0"/>
          <w:divBdr>
            <w:top w:val="none" w:sz="0" w:space="0" w:color="auto"/>
            <w:left w:val="none" w:sz="0" w:space="0" w:color="auto"/>
            <w:bottom w:val="none" w:sz="0" w:space="0" w:color="auto"/>
            <w:right w:val="none" w:sz="0" w:space="0" w:color="auto"/>
          </w:divBdr>
          <w:divsChild>
            <w:div w:id="1686831490">
              <w:marLeft w:val="0"/>
              <w:marRight w:val="0"/>
              <w:marTop w:val="0"/>
              <w:marBottom w:val="0"/>
              <w:divBdr>
                <w:top w:val="none" w:sz="0" w:space="0" w:color="auto"/>
                <w:left w:val="none" w:sz="0" w:space="0" w:color="auto"/>
                <w:bottom w:val="none" w:sz="0" w:space="0" w:color="auto"/>
                <w:right w:val="none" w:sz="0" w:space="0" w:color="auto"/>
              </w:divBdr>
              <w:divsChild>
                <w:div w:id="16890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0274">
      <w:bodyDiv w:val="1"/>
      <w:marLeft w:val="0"/>
      <w:marRight w:val="0"/>
      <w:marTop w:val="0"/>
      <w:marBottom w:val="0"/>
      <w:divBdr>
        <w:top w:val="none" w:sz="0" w:space="0" w:color="auto"/>
        <w:left w:val="none" w:sz="0" w:space="0" w:color="auto"/>
        <w:bottom w:val="none" w:sz="0" w:space="0" w:color="auto"/>
        <w:right w:val="none" w:sz="0" w:space="0" w:color="auto"/>
      </w:divBdr>
      <w:divsChild>
        <w:div w:id="2048946701">
          <w:marLeft w:val="0"/>
          <w:marRight w:val="0"/>
          <w:marTop w:val="0"/>
          <w:marBottom w:val="0"/>
          <w:divBdr>
            <w:top w:val="none" w:sz="0" w:space="0" w:color="auto"/>
            <w:left w:val="none" w:sz="0" w:space="0" w:color="auto"/>
            <w:bottom w:val="none" w:sz="0" w:space="0" w:color="auto"/>
            <w:right w:val="none" w:sz="0" w:space="0" w:color="auto"/>
          </w:divBdr>
          <w:divsChild>
            <w:div w:id="200555851">
              <w:marLeft w:val="0"/>
              <w:marRight w:val="0"/>
              <w:marTop w:val="0"/>
              <w:marBottom w:val="0"/>
              <w:divBdr>
                <w:top w:val="none" w:sz="0" w:space="0" w:color="auto"/>
                <w:left w:val="none" w:sz="0" w:space="0" w:color="auto"/>
                <w:bottom w:val="none" w:sz="0" w:space="0" w:color="auto"/>
                <w:right w:val="none" w:sz="0" w:space="0" w:color="auto"/>
              </w:divBdr>
              <w:divsChild>
                <w:div w:id="17089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435">
      <w:bodyDiv w:val="1"/>
      <w:marLeft w:val="0"/>
      <w:marRight w:val="0"/>
      <w:marTop w:val="0"/>
      <w:marBottom w:val="0"/>
      <w:divBdr>
        <w:top w:val="none" w:sz="0" w:space="0" w:color="auto"/>
        <w:left w:val="none" w:sz="0" w:space="0" w:color="auto"/>
        <w:bottom w:val="none" w:sz="0" w:space="0" w:color="auto"/>
        <w:right w:val="none" w:sz="0" w:space="0" w:color="auto"/>
      </w:divBdr>
    </w:div>
    <w:div w:id="89813026">
      <w:bodyDiv w:val="1"/>
      <w:marLeft w:val="0"/>
      <w:marRight w:val="0"/>
      <w:marTop w:val="0"/>
      <w:marBottom w:val="0"/>
      <w:divBdr>
        <w:top w:val="none" w:sz="0" w:space="0" w:color="auto"/>
        <w:left w:val="none" w:sz="0" w:space="0" w:color="auto"/>
        <w:bottom w:val="none" w:sz="0" w:space="0" w:color="auto"/>
        <w:right w:val="none" w:sz="0" w:space="0" w:color="auto"/>
      </w:divBdr>
      <w:divsChild>
        <w:div w:id="1652174631">
          <w:marLeft w:val="0"/>
          <w:marRight w:val="0"/>
          <w:marTop w:val="0"/>
          <w:marBottom w:val="0"/>
          <w:divBdr>
            <w:top w:val="none" w:sz="0" w:space="0" w:color="auto"/>
            <w:left w:val="none" w:sz="0" w:space="0" w:color="auto"/>
            <w:bottom w:val="none" w:sz="0" w:space="0" w:color="auto"/>
            <w:right w:val="none" w:sz="0" w:space="0" w:color="auto"/>
          </w:divBdr>
          <w:divsChild>
            <w:div w:id="202446812">
              <w:marLeft w:val="0"/>
              <w:marRight w:val="0"/>
              <w:marTop w:val="0"/>
              <w:marBottom w:val="0"/>
              <w:divBdr>
                <w:top w:val="none" w:sz="0" w:space="0" w:color="auto"/>
                <w:left w:val="none" w:sz="0" w:space="0" w:color="auto"/>
                <w:bottom w:val="none" w:sz="0" w:space="0" w:color="auto"/>
                <w:right w:val="none" w:sz="0" w:space="0" w:color="auto"/>
              </w:divBdr>
              <w:divsChild>
                <w:div w:id="2296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4818">
      <w:bodyDiv w:val="1"/>
      <w:marLeft w:val="0"/>
      <w:marRight w:val="0"/>
      <w:marTop w:val="0"/>
      <w:marBottom w:val="0"/>
      <w:divBdr>
        <w:top w:val="none" w:sz="0" w:space="0" w:color="auto"/>
        <w:left w:val="none" w:sz="0" w:space="0" w:color="auto"/>
        <w:bottom w:val="none" w:sz="0" w:space="0" w:color="auto"/>
        <w:right w:val="none" w:sz="0" w:space="0" w:color="auto"/>
      </w:divBdr>
      <w:divsChild>
        <w:div w:id="1084033962">
          <w:marLeft w:val="0"/>
          <w:marRight w:val="0"/>
          <w:marTop w:val="0"/>
          <w:marBottom w:val="0"/>
          <w:divBdr>
            <w:top w:val="none" w:sz="0" w:space="0" w:color="auto"/>
            <w:left w:val="none" w:sz="0" w:space="0" w:color="auto"/>
            <w:bottom w:val="none" w:sz="0" w:space="0" w:color="auto"/>
            <w:right w:val="none" w:sz="0" w:space="0" w:color="auto"/>
          </w:divBdr>
          <w:divsChild>
            <w:div w:id="1941140149">
              <w:marLeft w:val="0"/>
              <w:marRight w:val="0"/>
              <w:marTop w:val="0"/>
              <w:marBottom w:val="0"/>
              <w:divBdr>
                <w:top w:val="none" w:sz="0" w:space="0" w:color="auto"/>
                <w:left w:val="none" w:sz="0" w:space="0" w:color="auto"/>
                <w:bottom w:val="none" w:sz="0" w:space="0" w:color="auto"/>
                <w:right w:val="none" w:sz="0" w:space="0" w:color="auto"/>
              </w:divBdr>
              <w:divsChild>
                <w:div w:id="7508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6706">
      <w:bodyDiv w:val="1"/>
      <w:marLeft w:val="0"/>
      <w:marRight w:val="0"/>
      <w:marTop w:val="0"/>
      <w:marBottom w:val="0"/>
      <w:divBdr>
        <w:top w:val="none" w:sz="0" w:space="0" w:color="auto"/>
        <w:left w:val="none" w:sz="0" w:space="0" w:color="auto"/>
        <w:bottom w:val="none" w:sz="0" w:space="0" w:color="auto"/>
        <w:right w:val="none" w:sz="0" w:space="0" w:color="auto"/>
      </w:divBdr>
      <w:divsChild>
        <w:div w:id="992215917">
          <w:marLeft w:val="0"/>
          <w:marRight w:val="0"/>
          <w:marTop w:val="0"/>
          <w:marBottom w:val="0"/>
          <w:divBdr>
            <w:top w:val="none" w:sz="0" w:space="0" w:color="auto"/>
            <w:left w:val="none" w:sz="0" w:space="0" w:color="auto"/>
            <w:bottom w:val="none" w:sz="0" w:space="0" w:color="auto"/>
            <w:right w:val="none" w:sz="0" w:space="0" w:color="auto"/>
          </w:divBdr>
          <w:divsChild>
            <w:div w:id="1788743686">
              <w:marLeft w:val="0"/>
              <w:marRight w:val="0"/>
              <w:marTop w:val="0"/>
              <w:marBottom w:val="0"/>
              <w:divBdr>
                <w:top w:val="none" w:sz="0" w:space="0" w:color="auto"/>
                <w:left w:val="none" w:sz="0" w:space="0" w:color="auto"/>
                <w:bottom w:val="none" w:sz="0" w:space="0" w:color="auto"/>
                <w:right w:val="none" w:sz="0" w:space="0" w:color="auto"/>
              </w:divBdr>
              <w:divsChild>
                <w:div w:id="6752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5602">
      <w:bodyDiv w:val="1"/>
      <w:marLeft w:val="0"/>
      <w:marRight w:val="0"/>
      <w:marTop w:val="0"/>
      <w:marBottom w:val="0"/>
      <w:divBdr>
        <w:top w:val="none" w:sz="0" w:space="0" w:color="auto"/>
        <w:left w:val="none" w:sz="0" w:space="0" w:color="auto"/>
        <w:bottom w:val="none" w:sz="0" w:space="0" w:color="auto"/>
        <w:right w:val="none" w:sz="0" w:space="0" w:color="auto"/>
      </w:divBdr>
      <w:divsChild>
        <w:div w:id="277418506">
          <w:marLeft w:val="0"/>
          <w:marRight w:val="0"/>
          <w:marTop w:val="0"/>
          <w:marBottom w:val="0"/>
          <w:divBdr>
            <w:top w:val="none" w:sz="0" w:space="0" w:color="auto"/>
            <w:left w:val="none" w:sz="0" w:space="0" w:color="auto"/>
            <w:bottom w:val="none" w:sz="0" w:space="0" w:color="auto"/>
            <w:right w:val="none" w:sz="0" w:space="0" w:color="auto"/>
          </w:divBdr>
          <w:divsChild>
            <w:div w:id="341133317">
              <w:marLeft w:val="0"/>
              <w:marRight w:val="0"/>
              <w:marTop w:val="0"/>
              <w:marBottom w:val="0"/>
              <w:divBdr>
                <w:top w:val="none" w:sz="0" w:space="0" w:color="auto"/>
                <w:left w:val="none" w:sz="0" w:space="0" w:color="auto"/>
                <w:bottom w:val="none" w:sz="0" w:space="0" w:color="auto"/>
                <w:right w:val="none" w:sz="0" w:space="0" w:color="auto"/>
              </w:divBdr>
              <w:divsChild>
                <w:div w:id="21435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6328">
      <w:bodyDiv w:val="1"/>
      <w:marLeft w:val="0"/>
      <w:marRight w:val="0"/>
      <w:marTop w:val="0"/>
      <w:marBottom w:val="0"/>
      <w:divBdr>
        <w:top w:val="none" w:sz="0" w:space="0" w:color="auto"/>
        <w:left w:val="none" w:sz="0" w:space="0" w:color="auto"/>
        <w:bottom w:val="none" w:sz="0" w:space="0" w:color="auto"/>
        <w:right w:val="none" w:sz="0" w:space="0" w:color="auto"/>
      </w:divBdr>
      <w:divsChild>
        <w:div w:id="1224874543">
          <w:marLeft w:val="0"/>
          <w:marRight w:val="0"/>
          <w:marTop w:val="0"/>
          <w:marBottom w:val="0"/>
          <w:divBdr>
            <w:top w:val="none" w:sz="0" w:space="0" w:color="auto"/>
            <w:left w:val="none" w:sz="0" w:space="0" w:color="auto"/>
            <w:bottom w:val="none" w:sz="0" w:space="0" w:color="auto"/>
            <w:right w:val="none" w:sz="0" w:space="0" w:color="auto"/>
          </w:divBdr>
          <w:divsChild>
            <w:div w:id="99490936">
              <w:marLeft w:val="0"/>
              <w:marRight w:val="0"/>
              <w:marTop w:val="0"/>
              <w:marBottom w:val="0"/>
              <w:divBdr>
                <w:top w:val="none" w:sz="0" w:space="0" w:color="auto"/>
                <w:left w:val="none" w:sz="0" w:space="0" w:color="auto"/>
                <w:bottom w:val="none" w:sz="0" w:space="0" w:color="auto"/>
                <w:right w:val="none" w:sz="0" w:space="0" w:color="auto"/>
              </w:divBdr>
              <w:divsChild>
                <w:div w:id="17391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0861">
      <w:bodyDiv w:val="1"/>
      <w:marLeft w:val="0"/>
      <w:marRight w:val="0"/>
      <w:marTop w:val="0"/>
      <w:marBottom w:val="0"/>
      <w:divBdr>
        <w:top w:val="none" w:sz="0" w:space="0" w:color="auto"/>
        <w:left w:val="none" w:sz="0" w:space="0" w:color="auto"/>
        <w:bottom w:val="none" w:sz="0" w:space="0" w:color="auto"/>
        <w:right w:val="none" w:sz="0" w:space="0" w:color="auto"/>
      </w:divBdr>
    </w:div>
    <w:div w:id="120850521">
      <w:bodyDiv w:val="1"/>
      <w:marLeft w:val="0"/>
      <w:marRight w:val="0"/>
      <w:marTop w:val="0"/>
      <w:marBottom w:val="0"/>
      <w:divBdr>
        <w:top w:val="none" w:sz="0" w:space="0" w:color="auto"/>
        <w:left w:val="none" w:sz="0" w:space="0" w:color="auto"/>
        <w:bottom w:val="none" w:sz="0" w:space="0" w:color="auto"/>
        <w:right w:val="none" w:sz="0" w:space="0" w:color="auto"/>
      </w:divBdr>
      <w:divsChild>
        <w:div w:id="746344052">
          <w:marLeft w:val="0"/>
          <w:marRight w:val="0"/>
          <w:marTop w:val="0"/>
          <w:marBottom w:val="0"/>
          <w:divBdr>
            <w:top w:val="none" w:sz="0" w:space="0" w:color="auto"/>
            <w:left w:val="none" w:sz="0" w:space="0" w:color="auto"/>
            <w:bottom w:val="none" w:sz="0" w:space="0" w:color="auto"/>
            <w:right w:val="none" w:sz="0" w:space="0" w:color="auto"/>
          </w:divBdr>
          <w:divsChild>
            <w:div w:id="56558701">
              <w:marLeft w:val="0"/>
              <w:marRight w:val="0"/>
              <w:marTop w:val="0"/>
              <w:marBottom w:val="0"/>
              <w:divBdr>
                <w:top w:val="none" w:sz="0" w:space="0" w:color="auto"/>
                <w:left w:val="none" w:sz="0" w:space="0" w:color="auto"/>
                <w:bottom w:val="none" w:sz="0" w:space="0" w:color="auto"/>
                <w:right w:val="none" w:sz="0" w:space="0" w:color="auto"/>
              </w:divBdr>
              <w:divsChild>
                <w:div w:id="1627394623">
                  <w:marLeft w:val="0"/>
                  <w:marRight w:val="0"/>
                  <w:marTop w:val="0"/>
                  <w:marBottom w:val="0"/>
                  <w:divBdr>
                    <w:top w:val="none" w:sz="0" w:space="0" w:color="auto"/>
                    <w:left w:val="none" w:sz="0" w:space="0" w:color="auto"/>
                    <w:bottom w:val="none" w:sz="0" w:space="0" w:color="auto"/>
                    <w:right w:val="none" w:sz="0" w:space="0" w:color="auto"/>
                  </w:divBdr>
                </w:div>
              </w:divsChild>
            </w:div>
            <w:div w:id="1292445466">
              <w:marLeft w:val="0"/>
              <w:marRight w:val="0"/>
              <w:marTop w:val="0"/>
              <w:marBottom w:val="0"/>
              <w:divBdr>
                <w:top w:val="none" w:sz="0" w:space="0" w:color="auto"/>
                <w:left w:val="none" w:sz="0" w:space="0" w:color="auto"/>
                <w:bottom w:val="none" w:sz="0" w:space="0" w:color="auto"/>
                <w:right w:val="none" w:sz="0" w:space="0" w:color="auto"/>
              </w:divBdr>
              <w:divsChild>
                <w:div w:id="16306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753">
          <w:marLeft w:val="0"/>
          <w:marRight w:val="0"/>
          <w:marTop w:val="0"/>
          <w:marBottom w:val="0"/>
          <w:divBdr>
            <w:top w:val="none" w:sz="0" w:space="0" w:color="auto"/>
            <w:left w:val="none" w:sz="0" w:space="0" w:color="auto"/>
            <w:bottom w:val="none" w:sz="0" w:space="0" w:color="auto"/>
            <w:right w:val="none" w:sz="0" w:space="0" w:color="auto"/>
          </w:divBdr>
          <w:divsChild>
            <w:div w:id="904533612">
              <w:marLeft w:val="0"/>
              <w:marRight w:val="0"/>
              <w:marTop w:val="0"/>
              <w:marBottom w:val="0"/>
              <w:divBdr>
                <w:top w:val="none" w:sz="0" w:space="0" w:color="auto"/>
                <w:left w:val="none" w:sz="0" w:space="0" w:color="auto"/>
                <w:bottom w:val="none" w:sz="0" w:space="0" w:color="auto"/>
                <w:right w:val="none" w:sz="0" w:space="0" w:color="auto"/>
              </w:divBdr>
              <w:divsChild>
                <w:div w:id="15664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7688">
      <w:bodyDiv w:val="1"/>
      <w:marLeft w:val="0"/>
      <w:marRight w:val="0"/>
      <w:marTop w:val="0"/>
      <w:marBottom w:val="0"/>
      <w:divBdr>
        <w:top w:val="none" w:sz="0" w:space="0" w:color="auto"/>
        <w:left w:val="none" w:sz="0" w:space="0" w:color="auto"/>
        <w:bottom w:val="none" w:sz="0" w:space="0" w:color="auto"/>
        <w:right w:val="none" w:sz="0" w:space="0" w:color="auto"/>
      </w:divBdr>
    </w:div>
    <w:div w:id="131488948">
      <w:bodyDiv w:val="1"/>
      <w:marLeft w:val="0"/>
      <w:marRight w:val="0"/>
      <w:marTop w:val="0"/>
      <w:marBottom w:val="0"/>
      <w:divBdr>
        <w:top w:val="none" w:sz="0" w:space="0" w:color="auto"/>
        <w:left w:val="none" w:sz="0" w:space="0" w:color="auto"/>
        <w:bottom w:val="none" w:sz="0" w:space="0" w:color="auto"/>
        <w:right w:val="none" w:sz="0" w:space="0" w:color="auto"/>
      </w:divBdr>
      <w:divsChild>
        <w:div w:id="674958727">
          <w:marLeft w:val="0"/>
          <w:marRight w:val="0"/>
          <w:marTop w:val="0"/>
          <w:marBottom w:val="0"/>
          <w:divBdr>
            <w:top w:val="none" w:sz="0" w:space="0" w:color="auto"/>
            <w:left w:val="none" w:sz="0" w:space="0" w:color="auto"/>
            <w:bottom w:val="none" w:sz="0" w:space="0" w:color="auto"/>
            <w:right w:val="none" w:sz="0" w:space="0" w:color="auto"/>
          </w:divBdr>
          <w:divsChild>
            <w:div w:id="209732977">
              <w:marLeft w:val="0"/>
              <w:marRight w:val="0"/>
              <w:marTop w:val="0"/>
              <w:marBottom w:val="0"/>
              <w:divBdr>
                <w:top w:val="none" w:sz="0" w:space="0" w:color="auto"/>
                <w:left w:val="none" w:sz="0" w:space="0" w:color="auto"/>
                <w:bottom w:val="none" w:sz="0" w:space="0" w:color="auto"/>
                <w:right w:val="none" w:sz="0" w:space="0" w:color="auto"/>
              </w:divBdr>
              <w:divsChild>
                <w:div w:id="503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0001">
      <w:bodyDiv w:val="1"/>
      <w:marLeft w:val="0"/>
      <w:marRight w:val="0"/>
      <w:marTop w:val="0"/>
      <w:marBottom w:val="0"/>
      <w:divBdr>
        <w:top w:val="none" w:sz="0" w:space="0" w:color="auto"/>
        <w:left w:val="none" w:sz="0" w:space="0" w:color="auto"/>
        <w:bottom w:val="none" w:sz="0" w:space="0" w:color="auto"/>
        <w:right w:val="none" w:sz="0" w:space="0" w:color="auto"/>
      </w:divBdr>
    </w:div>
    <w:div w:id="159778696">
      <w:bodyDiv w:val="1"/>
      <w:marLeft w:val="0"/>
      <w:marRight w:val="0"/>
      <w:marTop w:val="0"/>
      <w:marBottom w:val="0"/>
      <w:divBdr>
        <w:top w:val="none" w:sz="0" w:space="0" w:color="auto"/>
        <w:left w:val="none" w:sz="0" w:space="0" w:color="auto"/>
        <w:bottom w:val="none" w:sz="0" w:space="0" w:color="auto"/>
        <w:right w:val="none" w:sz="0" w:space="0" w:color="auto"/>
      </w:divBdr>
      <w:divsChild>
        <w:div w:id="44528825">
          <w:marLeft w:val="0"/>
          <w:marRight w:val="0"/>
          <w:marTop w:val="0"/>
          <w:marBottom w:val="0"/>
          <w:divBdr>
            <w:top w:val="none" w:sz="0" w:space="0" w:color="auto"/>
            <w:left w:val="none" w:sz="0" w:space="0" w:color="auto"/>
            <w:bottom w:val="none" w:sz="0" w:space="0" w:color="auto"/>
            <w:right w:val="none" w:sz="0" w:space="0" w:color="auto"/>
          </w:divBdr>
          <w:divsChild>
            <w:div w:id="953096167">
              <w:marLeft w:val="0"/>
              <w:marRight w:val="0"/>
              <w:marTop w:val="0"/>
              <w:marBottom w:val="0"/>
              <w:divBdr>
                <w:top w:val="none" w:sz="0" w:space="0" w:color="auto"/>
                <w:left w:val="none" w:sz="0" w:space="0" w:color="auto"/>
                <w:bottom w:val="none" w:sz="0" w:space="0" w:color="auto"/>
                <w:right w:val="none" w:sz="0" w:space="0" w:color="auto"/>
              </w:divBdr>
              <w:divsChild>
                <w:div w:id="11009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651">
      <w:bodyDiv w:val="1"/>
      <w:marLeft w:val="0"/>
      <w:marRight w:val="0"/>
      <w:marTop w:val="0"/>
      <w:marBottom w:val="0"/>
      <w:divBdr>
        <w:top w:val="none" w:sz="0" w:space="0" w:color="auto"/>
        <w:left w:val="none" w:sz="0" w:space="0" w:color="auto"/>
        <w:bottom w:val="none" w:sz="0" w:space="0" w:color="auto"/>
        <w:right w:val="none" w:sz="0" w:space="0" w:color="auto"/>
      </w:divBdr>
      <w:divsChild>
        <w:div w:id="976031935">
          <w:marLeft w:val="0"/>
          <w:marRight w:val="0"/>
          <w:marTop w:val="0"/>
          <w:marBottom w:val="0"/>
          <w:divBdr>
            <w:top w:val="none" w:sz="0" w:space="0" w:color="auto"/>
            <w:left w:val="none" w:sz="0" w:space="0" w:color="auto"/>
            <w:bottom w:val="none" w:sz="0" w:space="0" w:color="auto"/>
            <w:right w:val="none" w:sz="0" w:space="0" w:color="auto"/>
          </w:divBdr>
          <w:divsChild>
            <w:div w:id="222955485">
              <w:marLeft w:val="0"/>
              <w:marRight w:val="0"/>
              <w:marTop w:val="0"/>
              <w:marBottom w:val="0"/>
              <w:divBdr>
                <w:top w:val="none" w:sz="0" w:space="0" w:color="auto"/>
                <w:left w:val="none" w:sz="0" w:space="0" w:color="auto"/>
                <w:bottom w:val="none" w:sz="0" w:space="0" w:color="auto"/>
                <w:right w:val="none" w:sz="0" w:space="0" w:color="auto"/>
              </w:divBdr>
              <w:divsChild>
                <w:div w:id="19524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5139">
      <w:bodyDiv w:val="1"/>
      <w:marLeft w:val="0"/>
      <w:marRight w:val="0"/>
      <w:marTop w:val="0"/>
      <w:marBottom w:val="0"/>
      <w:divBdr>
        <w:top w:val="none" w:sz="0" w:space="0" w:color="auto"/>
        <w:left w:val="none" w:sz="0" w:space="0" w:color="auto"/>
        <w:bottom w:val="none" w:sz="0" w:space="0" w:color="auto"/>
        <w:right w:val="none" w:sz="0" w:space="0" w:color="auto"/>
      </w:divBdr>
      <w:divsChild>
        <w:div w:id="869147080">
          <w:marLeft w:val="0"/>
          <w:marRight w:val="0"/>
          <w:marTop w:val="0"/>
          <w:marBottom w:val="0"/>
          <w:divBdr>
            <w:top w:val="none" w:sz="0" w:space="0" w:color="auto"/>
            <w:left w:val="none" w:sz="0" w:space="0" w:color="auto"/>
            <w:bottom w:val="none" w:sz="0" w:space="0" w:color="auto"/>
            <w:right w:val="none" w:sz="0" w:space="0" w:color="auto"/>
          </w:divBdr>
          <w:divsChild>
            <w:div w:id="459687248">
              <w:marLeft w:val="0"/>
              <w:marRight w:val="0"/>
              <w:marTop w:val="0"/>
              <w:marBottom w:val="0"/>
              <w:divBdr>
                <w:top w:val="none" w:sz="0" w:space="0" w:color="auto"/>
                <w:left w:val="none" w:sz="0" w:space="0" w:color="auto"/>
                <w:bottom w:val="none" w:sz="0" w:space="0" w:color="auto"/>
                <w:right w:val="none" w:sz="0" w:space="0" w:color="auto"/>
              </w:divBdr>
              <w:divsChild>
                <w:div w:id="8865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176">
      <w:bodyDiv w:val="1"/>
      <w:marLeft w:val="0"/>
      <w:marRight w:val="0"/>
      <w:marTop w:val="0"/>
      <w:marBottom w:val="0"/>
      <w:divBdr>
        <w:top w:val="none" w:sz="0" w:space="0" w:color="auto"/>
        <w:left w:val="none" w:sz="0" w:space="0" w:color="auto"/>
        <w:bottom w:val="none" w:sz="0" w:space="0" w:color="auto"/>
        <w:right w:val="none" w:sz="0" w:space="0" w:color="auto"/>
      </w:divBdr>
    </w:div>
    <w:div w:id="186870321">
      <w:bodyDiv w:val="1"/>
      <w:marLeft w:val="0"/>
      <w:marRight w:val="0"/>
      <w:marTop w:val="0"/>
      <w:marBottom w:val="0"/>
      <w:divBdr>
        <w:top w:val="none" w:sz="0" w:space="0" w:color="auto"/>
        <w:left w:val="none" w:sz="0" w:space="0" w:color="auto"/>
        <w:bottom w:val="none" w:sz="0" w:space="0" w:color="auto"/>
        <w:right w:val="none" w:sz="0" w:space="0" w:color="auto"/>
      </w:divBdr>
      <w:divsChild>
        <w:div w:id="701436506">
          <w:marLeft w:val="0"/>
          <w:marRight w:val="0"/>
          <w:marTop w:val="0"/>
          <w:marBottom w:val="0"/>
          <w:divBdr>
            <w:top w:val="none" w:sz="0" w:space="0" w:color="auto"/>
            <w:left w:val="none" w:sz="0" w:space="0" w:color="auto"/>
            <w:bottom w:val="none" w:sz="0" w:space="0" w:color="auto"/>
            <w:right w:val="none" w:sz="0" w:space="0" w:color="auto"/>
          </w:divBdr>
          <w:divsChild>
            <w:div w:id="20320348">
              <w:marLeft w:val="0"/>
              <w:marRight w:val="0"/>
              <w:marTop w:val="0"/>
              <w:marBottom w:val="0"/>
              <w:divBdr>
                <w:top w:val="none" w:sz="0" w:space="0" w:color="auto"/>
                <w:left w:val="none" w:sz="0" w:space="0" w:color="auto"/>
                <w:bottom w:val="none" w:sz="0" w:space="0" w:color="auto"/>
                <w:right w:val="none" w:sz="0" w:space="0" w:color="auto"/>
              </w:divBdr>
              <w:divsChild>
                <w:div w:id="310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8672">
      <w:bodyDiv w:val="1"/>
      <w:marLeft w:val="0"/>
      <w:marRight w:val="0"/>
      <w:marTop w:val="0"/>
      <w:marBottom w:val="0"/>
      <w:divBdr>
        <w:top w:val="none" w:sz="0" w:space="0" w:color="auto"/>
        <w:left w:val="none" w:sz="0" w:space="0" w:color="auto"/>
        <w:bottom w:val="none" w:sz="0" w:space="0" w:color="auto"/>
        <w:right w:val="none" w:sz="0" w:space="0" w:color="auto"/>
      </w:divBdr>
    </w:div>
    <w:div w:id="215623645">
      <w:bodyDiv w:val="1"/>
      <w:marLeft w:val="0"/>
      <w:marRight w:val="0"/>
      <w:marTop w:val="0"/>
      <w:marBottom w:val="0"/>
      <w:divBdr>
        <w:top w:val="none" w:sz="0" w:space="0" w:color="auto"/>
        <w:left w:val="none" w:sz="0" w:space="0" w:color="auto"/>
        <w:bottom w:val="none" w:sz="0" w:space="0" w:color="auto"/>
        <w:right w:val="none" w:sz="0" w:space="0" w:color="auto"/>
      </w:divBdr>
      <w:divsChild>
        <w:div w:id="1689215527">
          <w:marLeft w:val="0"/>
          <w:marRight w:val="0"/>
          <w:marTop w:val="0"/>
          <w:marBottom w:val="0"/>
          <w:divBdr>
            <w:top w:val="none" w:sz="0" w:space="0" w:color="auto"/>
            <w:left w:val="none" w:sz="0" w:space="0" w:color="auto"/>
            <w:bottom w:val="none" w:sz="0" w:space="0" w:color="auto"/>
            <w:right w:val="none" w:sz="0" w:space="0" w:color="auto"/>
          </w:divBdr>
          <w:divsChild>
            <w:div w:id="1242443565">
              <w:marLeft w:val="0"/>
              <w:marRight w:val="0"/>
              <w:marTop w:val="0"/>
              <w:marBottom w:val="0"/>
              <w:divBdr>
                <w:top w:val="none" w:sz="0" w:space="0" w:color="auto"/>
                <w:left w:val="none" w:sz="0" w:space="0" w:color="auto"/>
                <w:bottom w:val="none" w:sz="0" w:space="0" w:color="auto"/>
                <w:right w:val="none" w:sz="0" w:space="0" w:color="auto"/>
              </w:divBdr>
              <w:divsChild>
                <w:div w:id="20336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03598">
      <w:bodyDiv w:val="1"/>
      <w:marLeft w:val="0"/>
      <w:marRight w:val="0"/>
      <w:marTop w:val="0"/>
      <w:marBottom w:val="0"/>
      <w:divBdr>
        <w:top w:val="none" w:sz="0" w:space="0" w:color="auto"/>
        <w:left w:val="none" w:sz="0" w:space="0" w:color="auto"/>
        <w:bottom w:val="none" w:sz="0" w:space="0" w:color="auto"/>
        <w:right w:val="none" w:sz="0" w:space="0" w:color="auto"/>
      </w:divBdr>
      <w:divsChild>
        <w:div w:id="279190660">
          <w:marLeft w:val="0"/>
          <w:marRight w:val="0"/>
          <w:marTop w:val="0"/>
          <w:marBottom w:val="0"/>
          <w:divBdr>
            <w:top w:val="none" w:sz="0" w:space="0" w:color="auto"/>
            <w:left w:val="none" w:sz="0" w:space="0" w:color="auto"/>
            <w:bottom w:val="none" w:sz="0" w:space="0" w:color="auto"/>
            <w:right w:val="none" w:sz="0" w:space="0" w:color="auto"/>
          </w:divBdr>
          <w:divsChild>
            <w:div w:id="1805855747">
              <w:marLeft w:val="0"/>
              <w:marRight w:val="0"/>
              <w:marTop w:val="0"/>
              <w:marBottom w:val="0"/>
              <w:divBdr>
                <w:top w:val="none" w:sz="0" w:space="0" w:color="auto"/>
                <w:left w:val="none" w:sz="0" w:space="0" w:color="auto"/>
                <w:bottom w:val="none" w:sz="0" w:space="0" w:color="auto"/>
                <w:right w:val="none" w:sz="0" w:space="0" w:color="auto"/>
              </w:divBdr>
              <w:divsChild>
                <w:div w:id="511455859">
                  <w:marLeft w:val="0"/>
                  <w:marRight w:val="0"/>
                  <w:marTop w:val="0"/>
                  <w:marBottom w:val="0"/>
                  <w:divBdr>
                    <w:top w:val="none" w:sz="0" w:space="0" w:color="auto"/>
                    <w:left w:val="none" w:sz="0" w:space="0" w:color="auto"/>
                    <w:bottom w:val="none" w:sz="0" w:space="0" w:color="auto"/>
                    <w:right w:val="none" w:sz="0" w:space="0" w:color="auto"/>
                  </w:divBdr>
                  <w:divsChild>
                    <w:div w:id="12712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87942">
      <w:bodyDiv w:val="1"/>
      <w:marLeft w:val="0"/>
      <w:marRight w:val="0"/>
      <w:marTop w:val="0"/>
      <w:marBottom w:val="0"/>
      <w:divBdr>
        <w:top w:val="none" w:sz="0" w:space="0" w:color="auto"/>
        <w:left w:val="none" w:sz="0" w:space="0" w:color="auto"/>
        <w:bottom w:val="none" w:sz="0" w:space="0" w:color="auto"/>
        <w:right w:val="none" w:sz="0" w:space="0" w:color="auto"/>
      </w:divBdr>
      <w:divsChild>
        <w:div w:id="790708656">
          <w:marLeft w:val="0"/>
          <w:marRight w:val="0"/>
          <w:marTop w:val="0"/>
          <w:marBottom w:val="0"/>
          <w:divBdr>
            <w:top w:val="none" w:sz="0" w:space="0" w:color="auto"/>
            <w:left w:val="none" w:sz="0" w:space="0" w:color="auto"/>
            <w:bottom w:val="none" w:sz="0" w:space="0" w:color="auto"/>
            <w:right w:val="none" w:sz="0" w:space="0" w:color="auto"/>
          </w:divBdr>
          <w:divsChild>
            <w:div w:id="338387876">
              <w:marLeft w:val="0"/>
              <w:marRight w:val="0"/>
              <w:marTop w:val="0"/>
              <w:marBottom w:val="0"/>
              <w:divBdr>
                <w:top w:val="none" w:sz="0" w:space="0" w:color="auto"/>
                <w:left w:val="none" w:sz="0" w:space="0" w:color="auto"/>
                <w:bottom w:val="none" w:sz="0" w:space="0" w:color="auto"/>
                <w:right w:val="none" w:sz="0" w:space="0" w:color="auto"/>
              </w:divBdr>
              <w:divsChild>
                <w:div w:id="2881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7689">
      <w:bodyDiv w:val="1"/>
      <w:marLeft w:val="0"/>
      <w:marRight w:val="0"/>
      <w:marTop w:val="0"/>
      <w:marBottom w:val="0"/>
      <w:divBdr>
        <w:top w:val="none" w:sz="0" w:space="0" w:color="auto"/>
        <w:left w:val="none" w:sz="0" w:space="0" w:color="auto"/>
        <w:bottom w:val="none" w:sz="0" w:space="0" w:color="auto"/>
        <w:right w:val="none" w:sz="0" w:space="0" w:color="auto"/>
      </w:divBdr>
      <w:divsChild>
        <w:div w:id="1422094915">
          <w:marLeft w:val="0"/>
          <w:marRight w:val="0"/>
          <w:marTop w:val="0"/>
          <w:marBottom w:val="0"/>
          <w:divBdr>
            <w:top w:val="none" w:sz="0" w:space="0" w:color="auto"/>
            <w:left w:val="none" w:sz="0" w:space="0" w:color="auto"/>
            <w:bottom w:val="none" w:sz="0" w:space="0" w:color="auto"/>
            <w:right w:val="none" w:sz="0" w:space="0" w:color="auto"/>
          </w:divBdr>
          <w:divsChild>
            <w:div w:id="535386924">
              <w:marLeft w:val="0"/>
              <w:marRight w:val="0"/>
              <w:marTop w:val="0"/>
              <w:marBottom w:val="0"/>
              <w:divBdr>
                <w:top w:val="none" w:sz="0" w:space="0" w:color="auto"/>
                <w:left w:val="none" w:sz="0" w:space="0" w:color="auto"/>
                <w:bottom w:val="none" w:sz="0" w:space="0" w:color="auto"/>
                <w:right w:val="none" w:sz="0" w:space="0" w:color="auto"/>
              </w:divBdr>
              <w:divsChild>
                <w:div w:id="851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49561">
      <w:bodyDiv w:val="1"/>
      <w:marLeft w:val="0"/>
      <w:marRight w:val="0"/>
      <w:marTop w:val="0"/>
      <w:marBottom w:val="0"/>
      <w:divBdr>
        <w:top w:val="none" w:sz="0" w:space="0" w:color="auto"/>
        <w:left w:val="none" w:sz="0" w:space="0" w:color="auto"/>
        <w:bottom w:val="none" w:sz="0" w:space="0" w:color="auto"/>
        <w:right w:val="none" w:sz="0" w:space="0" w:color="auto"/>
      </w:divBdr>
      <w:divsChild>
        <w:div w:id="1335717986">
          <w:marLeft w:val="0"/>
          <w:marRight w:val="0"/>
          <w:marTop w:val="0"/>
          <w:marBottom w:val="0"/>
          <w:divBdr>
            <w:top w:val="none" w:sz="0" w:space="0" w:color="auto"/>
            <w:left w:val="none" w:sz="0" w:space="0" w:color="auto"/>
            <w:bottom w:val="none" w:sz="0" w:space="0" w:color="auto"/>
            <w:right w:val="none" w:sz="0" w:space="0" w:color="auto"/>
          </w:divBdr>
          <w:divsChild>
            <w:div w:id="1120878458">
              <w:marLeft w:val="0"/>
              <w:marRight w:val="0"/>
              <w:marTop w:val="0"/>
              <w:marBottom w:val="0"/>
              <w:divBdr>
                <w:top w:val="none" w:sz="0" w:space="0" w:color="auto"/>
                <w:left w:val="none" w:sz="0" w:space="0" w:color="auto"/>
                <w:bottom w:val="none" w:sz="0" w:space="0" w:color="auto"/>
                <w:right w:val="none" w:sz="0" w:space="0" w:color="auto"/>
              </w:divBdr>
              <w:divsChild>
                <w:div w:id="8560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4501">
      <w:bodyDiv w:val="1"/>
      <w:marLeft w:val="0"/>
      <w:marRight w:val="0"/>
      <w:marTop w:val="0"/>
      <w:marBottom w:val="0"/>
      <w:divBdr>
        <w:top w:val="none" w:sz="0" w:space="0" w:color="auto"/>
        <w:left w:val="none" w:sz="0" w:space="0" w:color="auto"/>
        <w:bottom w:val="none" w:sz="0" w:space="0" w:color="auto"/>
        <w:right w:val="none" w:sz="0" w:space="0" w:color="auto"/>
      </w:divBdr>
      <w:divsChild>
        <w:div w:id="824321147">
          <w:marLeft w:val="0"/>
          <w:marRight w:val="0"/>
          <w:marTop w:val="0"/>
          <w:marBottom w:val="0"/>
          <w:divBdr>
            <w:top w:val="none" w:sz="0" w:space="0" w:color="auto"/>
            <w:left w:val="none" w:sz="0" w:space="0" w:color="auto"/>
            <w:bottom w:val="none" w:sz="0" w:space="0" w:color="auto"/>
            <w:right w:val="none" w:sz="0" w:space="0" w:color="auto"/>
          </w:divBdr>
          <w:divsChild>
            <w:div w:id="865677450">
              <w:marLeft w:val="0"/>
              <w:marRight w:val="0"/>
              <w:marTop w:val="0"/>
              <w:marBottom w:val="0"/>
              <w:divBdr>
                <w:top w:val="none" w:sz="0" w:space="0" w:color="auto"/>
                <w:left w:val="none" w:sz="0" w:space="0" w:color="auto"/>
                <w:bottom w:val="none" w:sz="0" w:space="0" w:color="auto"/>
                <w:right w:val="none" w:sz="0" w:space="0" w:color="auto"/>
              </w:divBdr>
              <w:divsChild>
                <w:div w:id="5652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05716">
      <w:bodyDiv w:val="1"/>
      <w:marLeft w:val="0"/>
      <w:marRight w:val="0"/>
      <w:marTop w:val="0"/>
      <w:marBottom w:val="0"/>
      <w:divBdr>
        <w:top w:val="none" w:sz="0" w:space="0" w:color="auto"/>
        <w:left w:val="none" w:sz="0" w:space="0" w:color="auto"/>
        <w:bottom w:val="none" w:sz="0" w:space="0" w:color="auto"/>
        <w:right w:val="none" w:sz="0" w:space="0" w:color="auto"/>
      </w:divBdr>
      <w:divsChild>
        <w:div w:id="700130087">
          <w:marLeft w:val="0"/>
          <w:marRight w:val="0"/>
          <w:marTop w:val="0"/>
          <w:marBottom w:val="0"/>
          <w:divBdr>
            <w:top w:val="none" w:sz="0" w:space="0" w:color="auto"/>
            <w:left w:val="none" w:sz="0" w:space="0" w:color="auto"/>
            <w:bottom w:val="none" w:sz="0" w:space="0" w:color="auto"/>
            <w:right w:val="none" w:sz="0" w:space="0" w:color="auto"/>
          </w:divBdr>
        </w:div>
      </w:divsChild>
    </w:div>
    <w:div w:id="286159071">
      <w:bodyDiv w:val="1"/>
      <w:marLeft w:val="0"/>
      <w:marRight w:val="0"/>
      <w:marTop w:val="0"/>
      <w:marBottom w:val="0"/>
      <w:divBdr>
        <w:top w:val="none" w:sz="0" w:space="0" w:color="auto"/>
        <w:left w:val="none" w:sz="0" w:space="0" w:color="auto"/>
        <w:bottom w:val="none" w:sz="0" w:space="0" w:color="auto"/>
        <w:right w:val="none" w:sz="0" w:space="0" w:color="auto"/>
      </w:divBdr>
      <w:divsChild>
        <w:div w:id="1737429978">
          <w:marLeft w:val="0"/>
          <w:marRight w:val="0"/>
          <w:marTop w:val="0"/>
          <w:marBottom w:val="0"/>
          <w:divBdr>
            <w:top w:val="none" w:sz="0" w:space="0" w:color="auto"/>
            <w:left w:val="none" w:sz="0" w:space="0" w:color="auto"/>
            <w:bottom w:val="none" w:sz="0" w:space="0" w:color="auto"/>
            <w:right w:val="none" w:sz="0" w:space="0" w:color="auto"/>
          </w:divBdr>
          <w:divsChild>
            <w:div w:id="319160666">
              <w:marLeft w:val="0"/>
              <w:marRight w:val="0"/>
              <w:marTop w:val="0"/>
              <w:marBottom w:val="0"/>
              <w:divBdr>
                <w:top w:val="none" w:sz="0" w:space="0" w:color="auto"/>
                <w:left w:val="none" w:sz="0" w:space="0" w:color="auto"/>
                <w:bottom w:val="none" w:sz="0" w:space="0" w:color="auto"/>
                <w:right w:val="none" w:sz="0" w:space="0" w:color="auto"/>
              </w:divBdr>
              <w:divsChild>
                <w:div w:id="15677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44478">
      <w:bodyDiv w:val="1"/>
      <w:marLeft w:val="0"/>
      <w:marRight w:val="0"/>
      <w:marTop w:val="0"/>
      <w:marBottom w:val="0"/>
      <w:divBdr>
        <w:top w:val="none" w:sz="0" w:space="0" w:color="auto"/>
        <w:left w:val="none" w:sz="0" w:space="0" w:color="auto"/>
        <w:bottom w:val="none" w:sz="0" w:space="0" w:color="auto"/>
        <w:right w:val="none" w:sz="0" w:space="0" w:color="auto"/>
      </w:divBdr>
      <w:divsChild>
        <w:div w:id="1714841454">
          <w:marLeft w:val="0"/>
          <w:marRight w:val="0"/>
          <w:marTop w:val="0"/>
          <w:marBottom w:val="0"/>
          <w:divBdr>
            <w:top w:val="none" w:sz="0" w:space="0" w:color="auto"/>
            <w:left w:val="none" w:sz="0" w:space="0" w:color="auto"/>
            <w:bottom w:val="none" w:sz="0" w:space="0" w:color="auto"/>
            <w:right w:val="none" w:sz="0" w:space="0" w:color="auto"/>
          </w:divBdr>
          <w:divsChild>
            <w:div w:id="1834490961">
              <w:marLeft w:val="0"/>
              <w:marRight w:val="0"/>
              <w:marTop w:val="0"/>
              <w:marBottom w:val="0"/>
              <w:divBdr>
                <w:top w:val="none" w:sz="0" w:space="0" w:color="auto"/>
                <w:left w:val="none" w:sz="0" w:space="0" w:color="auto"/>
                <w:bottom w:val="none" w:sz="0" w:space="0" w:color="auto"/>
                <w:right w:val="none" w:sz="0" w:space="0" w:color="auto"/>
              </w:divBdr>
              <w:divsChild>
                <w:div w:id="137646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2765">
      <w:bodyDiv w:val="1"/>
      <w:marLeft w:val="0"/>
      <w:marRight w:val="0"/>
      <w:marTop w:val="0"/>
      <w:marBottom w:val="0"/>
      <w:divBdr>
        <w:top w:val="none" w:sz="0" w:space="0" w:color="auto"/>
        <w:left w:val="none" w:sz="0" w:space="0" w:color="auto"/>
        <w:bottom w:val="none" w:sz="0" w:space="0" w:color="auto"/>
        <w:right w:val="none" w:sz="0" w:space="0" w:color="auto"/>
      </w:divBdr>
      <w:divsChild>
        <w:div w:id="1932883653">
          <w:marLeft w:val="0"/>
          <w:marRight w:val="0"/>
          <w:marTop w:val="0"/>
          <w:marBottom w:val="0"/>
          <w:divBdr>
            <w:top w:val="none" w:sz="0" w:space="0" w:color="auto"/>
            <w:left w:val="none" w:sz="0" w:space="0" w:color="auto"/>
            <w:bottom w:val="none" w:sz="0" w:space="0" w:color="auto"/>
            <w:right w:val="none" w:sz="0" w:space="0" w:color="auto"/>
          </w:divBdr>
          <w:divsChild>
            <w:div w:id="1657956282">
              <w:marLeft w:val="0"/>
              <w:marRight w:val="0"/>
              <w:marTop w:val="0"/>
              <w:marBottom w:val="0"/>
              <w:divBdr>
                <w:top w:val="none" w:sz="0" w:space="0" w:color="auto"/>
                <w:left w:val="none" w:sz="0" w:space="0" w:color="auto"/>
                <w:bottom w:val="none" w:sz="0" w:space="0" w:color="auto"/>
                <w:right w:val="none" w:sz="0" w:space="0" w:color="auto"/>
              </w:divBdr>
              <w:divsChild>
                <w:div w:id="12151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73479">
      <w:bodyDiv w:val="1"/>
      <w:marLeft w:val="0"/>
      <w:marRight w:val="0"/>
      <w:marTop w:val="0"/>
      <w:marBottom w:val="0"/>
      <w:divBdr>
        <w:top w:val="none" w:sz="0" w:space="0" w:color="auto"/>
        <w:left w:val="none" w:sz="0" w:space="0" w:color="auto"/>
        <w:bottom w:val="none" w:sz="0" w:space="0" w:color="auto"/>
        <w:right w:val="none" w:sz="0" w:space="0" w:color="auto"/>
      </w:divBdr>
      <w:divsChild>
        <w:div w:id="2074891874">
          <w:marLeft w:val="0"/>
          <w:marRight w:val="0"/>
          <w:marTop w:val="0"/>
          <w:marBottom w:val="0"/>
          <w:divBdr>
            <w:top w:val="none" w:sz="0" w:space="0" w:color="auto"/>
            <w:left w:val="none" w:sz="0" w:space="0" w:color="auto"/>
            <w:bottom w:val="none" w:sz="0" w:space="0" w:color="auto"/>
            <w:right w:val="none" w:sz="0" w:space="0" w:color="auto"/>
          </w:divBdr>
          <w:divsChild>
            <w:div w:id="913466675">
              <w:marLeft w:val="0"/>
              <w:marRight w:val="0"/>
              <w:marTop w:val="0"/>
              <w:marBottom w:val="0"/>
              <w:divBdr>
                <w:top w:val="none" w:sz="0" w:space="0" w:color="auto"/>
                <w:left w:val="none" w:sz="0" w:space="0" w:color="auto"/>
                <w:bottom w:val="none" w:sz="0" w:space="0" w:color="auto"/>
                <w:right w:val="none" w:sz="0" w:space="0" w:color="auto"/>
              </w:divBdr>
              <w:divsChild>
                <w:div w:id="79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4909">
      <w:bodyDiv w:val="1"/>
      <w:marLeft w:val="0"/>
      <w:marRight w:val="0"/>
      <w:marTop w:val="0"/>
      <w:marBottom w:val="0"/>
      <w:divBdr>
        <w:top w:val="none" w:sz="0" w:space="0" w:color="auto"/>
        <w:left w:val="none" w:sz="0" w:space="0" w:color="auto"/>
        <w:bottom w:val="none" w:sz="0" w:space="0" w:color="auto"/>
        <w:right w:val="none" w:sz="0" w:space="0" w:color="auto"/>
      </w:divBdr>
      <w:divsChild>
        <w:div w:id="15501919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sChild>
                <w:div w:id="1818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4920">
      <w:bodyDiv w:val="1"/>
      <w:marLeft w:val="0"/>
      <w:marRight w:val="0"/>
      <w:marTop w:val="0"/>
      <w:marBottom w:val="0"/>
      <w:divBdr>
        <w:top w:val="none" w:sz="0" w:space="0" w:color="auto"/>
        <w:left w:val="none" w:sz="0" w:space="0" w:color="auto"/>
        <w:bottom w:val="none" w:sz="0" w:space="0" w:color="auto"/>
        <w:right w:val="none" w:sz="0" w:space="0" w:color="auto"/>
      </w:divBdr>
      <w:divsChild>
        <w:div w:id="1210990974">
          <w:marLeft w:val="0"/>
          <w:marRight w:val="0"/>
          <w:marTop w:val="0"/>
          <w:marBottom w:val="0"/>
          <w:divBdr>
            <w:top w:val="none" w:sz="0" w:space="0" w:color="auto"/>
            <w:left w:val="none" w:sz="0" w:space="0" w:color="auto"/>
            <w:bottom w:val="none" w:sz="0" w:space="0" w:color="auto"/>
            <w:right w:val="none" w:sz="0" w:space="0" w:color="auto"/>
          </w:divBdr>
          <w:divsChild>
            <w:div w:id="125701483">
              <w:marLeft w:val="0"/>
              <w:marRight w:val="0"/>
              <w:marTop w:val="0"/>
              <w:marBottom w:val="0"/>
              <w:divBdr>
                <w:top w:val="none" w:sz="0" w:space="0" w:color="auto"/>
                <w:left w:val="none" w:sz="0" w:space="0" w:color="auto"/>
                <w:bottom w:val="none" w:sz="0" w:space="0" w:color="auto"/>
                <w:right w:val="none" w:sz="0" w:space="0" w:color="auto"/>
              </w:divBdr>
              <w:divsChild>
                <w:div w:id="10494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5720">
      <w:bodyDiv w:val="1"/>
      <w:marLeft w:val="0"/>
      <w:marRight w:val="0"/>
      <w:marTop w:val="0"/>
      <w:marBottom w:val="0"/>
      <w:divBdr>
        <w:top w:val="none" w:sz="0" w:space="0" w:color="auto"/>
        <w:left w:val="none" w:sz="0" w:space="0" w:color="auto"/>
        <w:bottom w:val="none" w:sz="0" w:space="0" w:color="auto"/>
        <w:right w:val="none" w:sz="0" w:space="0" w:color="auto"/>
      </w:divBdr>
      <w:divsChild>
        <w:div w:id="1752583964">
          <w:marLeft w:val="0"/>
          <w:marRight w:val="0"/>
          <w:marTop w:val="0"/>
          <w:marBottom w:val="0"/>
          <w:divBdr>
            <w:top w:val="none" w:sz="0" w:space="0" w:color="auto"/>
            <w:left w:val="none" w:sz="0" w:space="0" w:color="auto"/>
            <w:bottom w:val="none" w:sz="0" w:space="0" w:color="auto"/>
            <w:right w:val="none" w:sz="0" w:space="0" w:color="auto"/>
          </w:divBdr>
          <w:divsChild>
            <w:div w:id="667441217">
              <w:marLeft w:val="0"/>
              <w:marRight w:val="0"/>
              <w:marTop w:val="0"/>
              <w:marBottom w:val="0"/>
              <w:divBdr>
                <w:top w:val="none" w:sz="0" w:space="0" w:color="auto"/>
                <w:left w:val="none" w:sz="0" w:space="0" w:color="auto"/>
                <w:bottom w:val="none" w:sz="0" w:space="0" w:color="auto"/>
                <w:right w:val="none" w:sz="0" w:space="0" w:color="auto"/>
              </w:divBdr>
              <w:divsChild>
                <w:div w:id="131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668">
      <w:bodyDiv w:val="1"/>
      <w:marLeft w:val="0"/>
      <w:marRight w:val="0"/>
      <w:marTop w:val="0"/>
      <w:marBottom w:val="0"/>
      <w:divBdr>
        <w:top w:val="none" w:sz="0" w:space="0" w:color="auto"/>
        <w:left w:val="none" w:sz="0" w:space="0" w:color="auto"/>
        <w:bottom w:val="none" w:sz="0" w:space="0" w:color="auto"/>
        <w:right w:val="none" w:sz="0" w:space="0" w:color="auto"/>
      </w:divBdr>
      <w:divsChild>
        <w:div w:id="1573157537">
          <w:marLeft w:val="0"/>
          <w:marRight w:val="0"/>
          <w:marTop w:val="0"/>
          <w:marBottom w:val="0"/>
          <w:divBdr>
            <w:top w:val="none" w:sz="0" w:space="0" w:color="auto"/>
            <w:left w:val="none" w:sz="0" w:space="0" w:color="auto"/>
            <w:bottom w:val="none" w:sz="0" w:space="0" w:color="auto"/>
            <w:right w:val="none" w:sz="0" w:space="0" w:color="auto"/>
          </w:divBdr>
          <w:divsChild>
            <w:div w:id="700783407">
              <w:marLeft w:val="0"/>
              <w:marRight w:val="0"/>
              <w:marTop w:val="0"/>
              <w:marBottom w:val="0"/>
              <w:divBdr>
                <w:top w:val="none" w:sz="0" w:space="0" w:color="auto"/>
                <w:left w:val="none" w:sz="0" w:space="0" w:color="auto"/>
                <w:bottom w:val="none" w:sz="0" w:space="0" w:color="auto"/>
                <w:right w:val="none" w:sz="0" w:space="0" w:color="auto"/>
              </w:divBdr>
              <w:divsChild>
                <w:div w:id="16958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99711">
      <w:bodyDiv w:val="1"/>
      <w:marLeft w:val="0"/>
      <w:marRight w:val="0"/>
      <w:marTop w:val="0"/>
      <w:marBottom w:val="0"/>
      <w:divBdr>
        <w:top w:val="none" w:sz="0" w:space="0" w:color="auto"/>
        <w:left w:val="none" w:sz="0" w:space="0" w:color="auto"/>
        <w:bottom w:val="none" w:sz="0" w:space="0" w:color="auto"/>
        <w:right w:val="none" w:sz="0" w:space="0" w:color="auto"/>
      </w:divBdr>
      <w:divsChild>
        <w:div w:id="1589149585">
          <w:marLeft w:val="0"/>
          <w:marRight w:val="0"/>
          <w:marTop w:val="0"/>
          <w:marBottom w:val="0"/>
          <w:divBdr>
            <w:top w:val="none" w:sz="0" w:space="0" w:color="auto"/>
            <w:left w:val="none" w:sz="0" w:space="0" w:color="auto"/>
            <w:bottom w:val="none" w:sz="0" w:space="0" w:color="auto"/>
            <w:right w:val="none" w:sz="0" w:space="0" w:color="auto"/>
          </w:divBdr>
          <w:divsChild>
            <w:div w:id="385955002">
              <w:marLeft w:val="0"/>
              <w:marRight w:val="0"/>
              <w:marTop w:val="0"/>
              <w:marBottom w:val="0"/>
              <w:divBdr>
                <w:top w:val="none" w:sz="0" w:space="0" w:color="auto"/>
                <w:left w:val="none" w:sz="0" w:space="0" w:color="auto"/>
                <w:bottom w:val="none" w:sz="0" w:space="0" w:color="auto"/>
                <w:right w:val="none" w:sz="0" w:space="0" w:color="auto"/>
              </w:divBdr>
              <w:divsChild>
                <w:div w:id="14072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3385">
      <w:bodyDiv w:val="1"/>
      <w:marLeft w:val="0"/>
      <w:marRight w:val="0"/>
      <w:marTop w:val="0"/>
      <w:marBottom w:val="0"/>
      <w:divBdr>
        <w:top w:val="none" w:sz="0" w:space="0" w:color="auto"/>
        <w:left w:val="none" w:sz="0" w:space="0" w:color="auto"/>
        <w:bottom w:val="none" w:sz="0" w:space="0" w:color="auto"/>
        <w:right w:val="none" w:sz="0" w:space="0" w:color="auto"/>
      </w:divBdr>
      <w:divsChild>
        <w:div w:id="1484617460">
          <w:marLeft w:val="0"/>
          <w:marRight w:val="0"/>
          <w:marTop w:val="0"/>
          <w:marBottom w:val="0"/>
          <w:divBdr>
            <w:top w:val="none" w:sz="0" w:space="0" w:color="auto"/>
            <w:left w:val="none" w:sz="0" w:space="0" w:color="auto"/>
            <w:bottom w:val="none" w:sz="0" w:space="0" w:color="auto"/>
            <w:right w:val="none" w:sz="0" w:space="0" w:color="auto"/>
          </w:divBdr>
          <w:divsChild>
            <w:div w:id="493297992">
              <w:marLeft w:val="0"/>
              <w:marRight w:val="0"/>
              <w:marTop w:val="0"/>
              <w:marBottom w:val="0"/>
              <w:divBdr>
                <w:top w:val="none" w:sz="0" w:space="0" w:color="auto"/>
                <w:left w:val="none" w:sz="0" w:space="0" w:color="auto"/>
                <w:bottom w:val="none" w:sz="0" w:space="0" w:color="auto"/>
                <w:right w:val="none" w:sz="0" w:space="0" w:color="auto"/>
              </w:divBdr>
              <w:divsChild>
                <w:div w:id="4435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6515">
      <w:bodyDiv w:val="1"/>
      <w:marLeft w:val="0"/>
      <w:marRight w:val="0"/>
      <w:marTop w:val="0"/>
      <w:marBottom w:val="0"/>
      <w:divBdr>
        <w:top w:val="none" w:sz="0" w:space="0" w:color="auto"/>
        <w:left w:val="none" w:sz="0" w:space="0" w:color="auto"/>
        <w:bottom w:val="none" w:sz="0" w:space="0" w:color="auto"/>
        <w:right w:val="none" w:sz="0" w:space="0" w:color="auto"/>
      </w:divBdr>
      <w:divsChild>
        <w:div w:id="1852530031">
          <w:marLeft w:val="0"/>
          <w:marRight w:val="0"/>
          <w:marTop w:val="0"/>
          <w:marBottom w:val="0"/>
          <w:divBdr>
            <w:top w:val="none" w:sz="0" w:space="0" w:color="auto"/>
            <w:left w:val="none" w:sz="0" w:space="0" w:color="auto"/>
            <w:bottom w:val="none" w:sz="0" w:space="0" w:color="auto"/>
            <w:right w:val="none" w:sz="0" w:space="0" w:color="auto"/>
          </w:divBdr>
          <w:divsChild>
            <w:div w:id="339819884">
              <w:marLeft w:val="0"/>
              <w:marRight w:val="0"/>
              <w:marTop w:val="0"/>
              <w:marBottom w:val="0"/>
              <w:divBdr>
                <w:top w:val="none" w:sz="0" w:space="0" w:color="auto"/>
                <w:left w:val="none" w:sz="0" w:space="0" w:color="auto"/>
                <w:bottom w:val="none" w:sz="0" w:space="0" w:color="auto"/>
                <w:right w:val="none" w:sz="0" w:space="0" w:color="auto"/>
              </w:divBdr>
              <w:divsChild>
                <w:div w:id="15974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4627">
      <w:bodyDiv w:val="1"/>
      <w:marLeft w:val="0"/>
      <w:marRight w:val="0"/>
      <w:marTop w:val="0"/>
      <w:marBottom w:val="0"/>
      <w:divBdr>
        <w:top w:val="none" w:sz="0" w:space="0" w:color="auto"/>
        <w:left w:val="none" w:sz="0" w:space="0" w:color="auto"/>
        <w:bottom w:val="none" w:sz="0" w:space="0" w:color="auto"/>
        <w:right w:val="none" w:sz="0" w:space="0" w:color="auto"/>
      </w:divBdr>
      <w:divsChild>
        <w:div w:id="1305811136">
          <w:marLeft w:val="0"/>
          <w:marRight w:val="0"/>
          <w:marTop w:val="0"/>
          <w:marBottom w:val="0"/>
          <w:divBdr>
            <w:top w:val="none" w:sz="0" w:space="0" w:color="auto"/>
            <w:left w:val="none" w:sz="0" w:space="0" w:color="auto"/>
            <w:bottom w:val="none" w:sz="0" w:space="0" w:color="auto"/>
            <w:right w:val="none" w:sz="0" w:space="0" w:color="auto"/>
          </w:divBdr>
          <w:divsChild>
            <w:div w:id="651060964">
              <w:marLeft w:val="0"/>
              <w:marRight w:val="0"/>
              <w:marTop w:val="0"/>
              <w:marBottom w:val="0"/>
              <w:divBdr>
                <w:top w:val="none" w:sz="0" w:space="0" w:color="auto"/>
                <w:left w:val="none" w:sz="0" w:space="0" w:color="auto"/>
                <w:bottom w:val="none" w:sz="0" w:space="0" w:color="auto"/>
                <w:right w:val="none" w:sz="0" w:space="0" w:color="auto"/>
              </w:divBdr>
              <w:divsChild>
                <w:div w:id="2599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5078">
      <w:bodyDiv w:val="1"/>
      <w:marLeft w:val="0"/>
      <w:marRight w:val="0"/>
      <w:marTop w:val="0"/>
      <w:marBottom w:val="0"/>
      <w:divBdr>
        <w:top w:val="none" w:sz="0" w:space="0" w:color="auto"/>
        <w:left w:val="none" w:sz="0" w:space="0" w:color="auto"/>
        <w:bottom w:val="none" w:sz="0" w:space="0" w:color="auto"/>
        <w:right w:val="none" w:sz="0" w:space="0" w:color="auto"/>
      </w:divBdr>
      <w:divsChild>
        <w:div w:id="1364549519">
          <w:marLeft w:val="0"/>
          <w:marRight w:val="0"/>
          <w:marTop w:val="0"/>
          <w:marBottom w:val="0"/>
          <w:divBdr>
            <w:top w:val="none" w:sz="0" w:space="0" w:color="auto"/>
            <w:left w:val="none" w:sz="0" w:space="0" w:color="auto"/>
            <w:bottom w:val="none" w:sz="0" w:space="0" w:color="auto"/>
            <w:right w:val="none" w:sz="0" w:space="0" w:color="auto"/>
          </w:divBdr>
          <w:divsChild>
            <w:div w:id="867060063">
              <w:marLeft w:val="0"/>
              <w:marRight w:val="0"/>
              <w:marTop w:val="0"/>
              <w:marBottom w:val="0"/>
              <w:divBdr>
                <w:top w:val="none" w:sz="0" w:space="0" w:color="auto"/>
                <w:left w:val="none" w:sz="0" w:space="0" w:color="auto"/>
                <w:bottom w:val="none" w:sz="0" w:space="0" w:color="auto"/>
                <w:right w:val="none" w:sz="0" w:space="0" w:color="auto"/>
              </w:divBdr>
              <w:divsChild>
                <w:div w:id="104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9886">
      <w:bodyDiv w:val="1"/>
      <w:marLeft w:val="0"/>
      <w:marRight w:val="0"/>
      <w:marTop w:val="0"/>
      <w:marBottom w:val="0"/>
      <w:divBdr>
        <w:top w:val="none" w:sz="0" w:space="0" w:color="auto"/>
        <w:left w:val="none" w:sz="0" w:space="0" w:color="auto"/>
        <w:bottom w:val="none" w:sz="0" w:space="0" w:color="auto"/>
        <w:right w:val="none" w:sz="0" w:space="0" w:color="auto"/>
      </w:divBdr>
      <w:divsChild>
        <w:div w:id="323899802">
          <w:marLeft w:val="0"/>
          <w:marRight w:val="0"/>
          <w:marTop w:val="0"/>
          <w:marBottom w:val="0"/>
          <w:divBdr>
            <w:top w:val="none" w:sz="0" w:space="0" w:color="auto"/>
            <w:left w:val="none" w:sz="0" w:space="0" w:color="auto"/>
            <w:bottom w:val="none" w:sz="0" w:space="0" w:color="auto"/>
            <w:right w:val="none" w:sz="0" w:space="0" w:color="auto"/>
          </w:divBdr>
          <w:divsChild>
            <w:div w:id="861479542">
              <w:marLeft w:val="0"/>
              <w:marRight w:val="0"/>
              <w:marTop w:val="0"/>
              <w:marBottom w:val="0"/>
              <w:divBdr>
                <w:top w:val="none" w:sz="0" w:space="0" w:color="auto"/>
                <w:left w:val="none" w:sz="0" w:space="0" w:color="auto"/>
                <w:bottom w:val="none" w:sz="0" w:space="0" w:color="auto"/>
                <w:right w:val="none" w:sz="0" w:space="0" w:color="auto"/>
              </w:divBdr>
              <w:divsChild>
                <w:div w:id="4956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2963">
      <w:bodyDiv w:val="1"/>
      <w:marLeft w:val="0"/>
      <w:marRight w:val="0"/>
      <w:marTop w:val="0"/>
      <w:marBottom w:val="0"/>
      <w:divBdr>
        <w:top w:val="none" w:sz="0" w:space="0" w:color="auto"/>
        <w:left w:val="none" w:sz="0" w:space="0" w:color="auto"/>
        <w:bottom w:val="none" w:sz="0" w:space="0" w:color="auto"/>
        <w:right w:val="none" w:sz="0" w:space="0" w:color="auto"/>
      </w:divBdr>
      <w:divsChild>
        <w:div w:id="217981368">
          <w:marLeft w:val="0"/>
          <w:marRight w:val="0"/>
          <w:marTop w:val="0"/>
          <w:marBottom w:val="0"/>
          <w:divBdr>
            <w:top w:val="none" w:sz="0" w:space="0" w:color="auto"/>
            <w:left w:val="none" w:sz="0" w:space="0" w:color="auto"/>
            <w:bottom w:val="none" w:sz="0" w:space="0" w:color="auto"/>
            <w:right w:val="none" w:sz="0" w:space="0" w:color="auto"/>
          </w:divBdr>
          <w:divsChild>
            <w:div w:id="539130672">
              <w:marLeft w:val="0"/>
              <w:marRight w:val="0"/>
              <w:marTop w:val="0"/>
              <w:marBottom w:val="0"/>
              <w:divBdr>
                <w:top w:val="none" w:sz="0" w:space="0" w:color="auto"/>
                <w:left w:val="none" w:sz="0" w:space="0" w:color="auto"/>
                <w:bottom w:val="none" w:sz="0" w:space="0" w:color="auto"/>
                <w:right w:val="none" w:sz="0" w:space="0" w:color="auto"/>
              </w:divBdr>
              <w:divsChild>
                <w:div w:id="20710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48527">
      <w:bodyDiv w:val="1"/>
      <w:marLeft w:val="0"/>
      <w:marRight w:val="0"/>
      <w:marTop w:val="0"/>
      <w:marBottom w:val="0"/>
      <w:divBdr>
        <w:top w:val="none" w:sz="0" w:space="0" w:color="auto"/>
        <w:left w:val="none" w:sz="0" w:space="0" w:color="auto"/>
        <w:bottom w:val="none" w:sz="0" w:space="0" w:color="auto"/>
        <w:right w:val="none" w:sz="0" w:space="0" w:color="auto"/>
      </w:divBdr>
    </w:div>
    <w:div w:id="404376380">
      <w:bodyDiv w:val="1"/>
      <w:marLeft w:val="0"/>
      <w:marRight w:val="0"/>
      <w:marTop w:val="0"/>
      <w:marBottom w:val="0"/>
      <w:divBdr>
        <w:top w:val="none" w:sz="0" w:space="0" w:color="auto"/>
        <w:left w:val="none" w:sz="0" w:space="0" w:color="auto"/>
        <w:bottom w:val="none" w:sz="0" w:space="0" w:color="auto"/>
        <w:right w:val="none" w:sz="0" w:space="0" w:color="auto"/>
      </w:divBdr>
      <w:divsChild>
        <w:div w:id="693073792">
          <w:marLeft w:val="0"/>
          <w:marRight w:val="0"/>
          <w:marTop w:val="0"/>
          <w:marBottom w:val="0"/>
          <w:divBdr>
            <w:top w:val="none" w:sz="0" w:space="0" w:color="auto"/>
            <w:left w:val="none" w:sz="0" w:space="0" w:color="auto"/>
            <w:bottom w:val="none" w:sz="0" w:space="0" w:color="auto"/>
            <w:right w:val="none" w:sz="0" w:space="0" w:color="auto"/>
          </w:divBdr>
          <w:divsChild>
            <w:div w:id="1594699603">
              <w:marLeft w:val="0"/>
              <w:marRight w:val="0"/>
              <w:marTop w:val="0"/>
              <w:marBottom w:val="0"/>
              <w:divBdr>
                <w:top w:val="none" w:sz="0" w:space="0" w:color="auto"/>
                <w:left w:val="none" w:sz="0" w:space="0" w:color="auto"/>
                <w:bottom w:val="none" w:sz="0" w:space="0" w:color="auto"/>
                <w:right w:val="none" w:sz="0" w:space="0" w:color="auto"/>
              </w:divBdr>
              <w:divsChild>
                <w:div w:id="16453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52243">
      <w:bodyDiv w:val="1"/>
      <w:marLeft w:val="0"/>
      <w:marRight w:val="0"/>
      <w:marTop w:val="0"/>
      <w:marBottom w:val="0"/>
      <w:divBdr>
        <w:top w:val="none" w:sz="0" w:space="0" w:color="auto"/>
        <w:left w:val="none" w:sz="0" w:space="0" w:color="auto"/>
        <w:bottom w:val="none" w:sz="0" w:space="0" w:color="auto"/>
        <w:right w:val="none" w:sz="0" w:space="0" w:color="auto"/>
      </w:divBdr>
    </w:div>
    <w:div w:id="407267858">
      <w:bodyDiv w:val="1"/>
      <w:marLeft w:val="0"/>
      <w:marRight w:val="0"/>
      <w:marTop w:val="0"/>
      <w:marBottom w:val="0"/>
      <w:divBdr>
        <w:top w:val="none" w:sz="0" w:space="0" w:color="auto"/>
        <w:left w:val="none" w:sz="0" w:space="0" w:color="auto"/>
        <w:bottom w:val="none" w:sz="0" w:space="0" w:color="auto"/>
        <w:right w:val="none" w:sz="0" w:space="0" w:color="auto"/>
      </w:divBdr>
      <w:divsChild>
        <w:div w:id="1997881122">
          <w:marLeft w:val="0"/>
          <w:marRight w:val="0"/>
          <w:marTop w:val="0"/>
          <w:marBottom w:val="0"/>
          <w:divBdr>
            <w:top w:val="none" w:sz="0" w:space="0" w:color="auto"/>
            <w:left w:val="none" w:sz="0" w:space="0" w:color="auto"/>
            <w:bottom w:val="none" w:sz="0" w:space="0" w:color="auto"/>
            <w:right w:val="none" w:sz="0" w:space="0" w:color="auto"/>
          </w:divBdr>
          <w:divsChild>
            <w:div w:id="1889218196">
              <w:marLeft w:val="0"/>
              <w:marRight w:val="0"/>
              <w:marTop w:val="0"/>
              <w:marBottom w:val="0"/>
              <w:divBdr>
                <w:top w:val="none" w:sz="0" w:space="0" w:color="auto"/>
                <w:left w:val="none" w:sz="0" w:space="0" w:color="auto"/>
                <w:bottom w:val="none" w:sz="0" w:space="0" w:color="auto"/>
                <w:right w:val="none" w:sz="0" w:space="0" w:color="auto"/>
              </w:divBdr>
              <w:divsChild>
                <w:div w:id="4186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2249">
      <w:bodyDiv w:val="1"/>
      <w:marLeft w:val="0"/>
      <w:marRight w:val="0"/>
      <w:marTop w:val="0"/>
      <w:marBottom w:val="0"/>
      <w:divBdr>
        <w:top w:val="none" w:sz="0" w:space="0" w:color="auto"/>
        <w:left w:val="none" w:sz="0" w:space="0" w:color="auto"/>
        <w:bottom w:val="none" w:sz="0" w:space="0" w:color="auto"/>
        <w:right w:val="none" w:sz="0" w:space="0" w:color="auto"/>
      </w:divBdr>
      <w:divsChild>
        <w:div w:id="1631089976">
          <w:marLeft w:val="0"/>
          <w:marRight w:val="0"/>
          <w:marTop w:val="0"/>
          <w:marBottom w:val="0"/>
          <w:divBdr>
            <w:top w:val="none" w:sz="0" w:space="0" w:color="auto"/>
            <w:left w:val="none" w:sz="0" w:space="0" w:color="auto"/>
            <w:bottom w:val="none" w:sz="0" w:space="0" w:color="auto"/>
            <w:right w:val="none" w:sz="0" w:space="0" w:color="auto"/>
          </w:divBdr>
          <w:divsChild>
            <w:div w:id="1509707771">
              <w:marLeft w:val="0"/>
              <w:marRight w:val="0"/>
              <w:marTop w:val="0"/>
              <w:marBottom w:val="0"/>
              <w:divBdr>
                <w:top w:val="none" w:sz="0" w:space="0" w:color="auto"/>
                <w:left w:val="none" w:sz="0" w:space="0" w:color="auto"/>
                <w:bottom w:val="none" w:sz="0" w:space="0" w:color="auto"/>
                <w:right w:val="none" w:sz="0" w:space="0" w:color="auto"/>
              </w:divBdr>
              <w:divsChild>
                <w:div w:id="8622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4264">
      <w:bodyDiv w:val="1"/>
      <w:marLeft w:val="0"/>
      <w:marRight w:val="0"/>
      <w:marTop w:val="0"/>
      <w:marBottom w:val="0"/>
      <w:divBdr>
        <w:top w:val="none" w:sz="0" w:space="0" w:color="auto"/>
        <w:left w:val="none" w:sz="0" w:space="0" w:color="auto"/>
        <w:bottom w:val="none" w:sz="0" w:space="0" w:color="auto"/>
        <w:right w:val="none" w:sz="0" w:space="0" w:color="auto"/>
      </w:divBdr>
      <w:divsChild>
        <w:div w:id="655840679">
          <w:marLeft w:val="0"/>
          <w:marRight w:val="0"/>
          <w:marTop w:val="0"/>
          <w:marBottom w:val="0"/>
          <w:divBdr>
            <w:top w:val="none" w:sz="0" w:space="0" w:color="auto"/>
            <w:left w:val="none" w:sz="0" w:space="0" w:color="auto"/>
            <w:bottom w:val="none" w:sz="0" w:space="0" w:color="auto"/>
            <w:right w:val="none" w:sz="0" w:space="0" w:color="auto"/>
          </w:divBdr>
          <w:divsChild>
            <w:div w:id="1117986852">
              <w:marLeft w:val="0"/>
              <w:marRight w:val="0"/>
              <w:marTop w:val="0"/>
              <w:marBottom w:val="0"/>
              <w:divBdr>
                <w:top w:val="none" w:sz="0" w:space="0" w:color="auto"/>
                <w:left w:val="none" w:sz="0" w:space="0" w:color="auto"/>
                <w:bottom w:val="none" w:sz="0" w:space="0" w:color="auto"/>
                <w:right w:val="none" w:sz="0" w:space="0" w:color="auto"/>
              </w:divBdr>
              <w:divsChild>
                <w:div w:id="9059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4147">
      <w:bodyDiv w:val="1"/>
      <w:marLeft w:val="0"/>
      <w:marRight w:val="0"/>
      <w:marTop w:val="0"/>
      <w:marBottom w:val="0"/>
      <w:divBdr>
        <w:top w:val="none" w:sz="0" w:space="0" w:color="auto"/>
        <w:left w:val="none" w:sz="0" w:space="0" w:color="auto"/>
        <w:bottom w:val="none" w:sz="0" w:space="0" w:color="auto"/>
        <w:right w:val="none" w:sz="0" w:space="0" w:color="auto"/>
      </w:divBdr>
      <w:divsChild>
        <w:div w:id="2050714">
          <w:marLeft w:val="0"/>
          <w:marRight w:val="0"/>
          <w:marTop w:val="0"/>
          <w:marBottom w:val="0"/>
          <w:divBdr>
            <w:top w:val="none" w:sz="0" w:space="0" w:color="auto"/>
            <w:left w:val="none" w:sz="0" w:space="0" w:color="auto"/>
            <w:bottom w:val="none" w:sz="0" w:space="0" w:color="auto"/>
            <w:right w:val="none" w:sz="0" w:space="0" w:color="auto"/>
          </w:divBdr>
          <w:divsChild>
            <w:div w:id="2142452210">
              <w:marLeft w:val="0"/>
              <w:marRight w:val="0"/>
              <w:marTop w:val="0"/>
              <w:marBottom w:val="0"/>
              <w:divBdr>
                <w:top w:val="none" w:sz="0" w:space="0" w:color="auto"/>
                <w:left w:val="none" w:sz="0" w:space="0" w:color="auto"/>
                <w:bottom w:val="none" w:sz="0" w:space="0" w:color="auto"/>
                <w:right w:val="none" w:sz="0" w:space="0" w:color="auto"/>
              </w:divBdr>
              <w:divsChild>
                <w:div w:id="1715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5224">
      <w:bodyDiv w:val="1"/>
      <w:marLeft w:val="0"/>
      <w:marRight w:val="0"/>
      <w:marTop w:val="0"/>
      <w:marBottom w:val="0"/>
      <w:divBdr>
        <w:top w:val="none" w:sz="0" w:space="0" w:color="auto"/>
        <w:left w:val="none" w:sz="0" w:space="0" w:color="auto"/>
        <w:bottom w:val="none" w:sz="0" w:space="0" w:color="auto"/>
        <w:right w:val="none" w:sz="0" w:space="0" w:color="auto"/>
      </w:divBdr>
      <w:divsChild>
        <w:div w:id="1545404743">
          <w:marLeft w:val="0"/>
          <w:marRight w:val="0"/>
          <w:marTop w:val="0"/>
          <w:marBottom w:val="0"/>
          <w:divBdr>
            <w:top w:val="none" w:sz="0" w:space="0" w:color="auto"/>
            <w:left w:val="none" w:sz="0" w:space="0" w:color="auto"/>
            <w:bottom w:val="none" w:sz="0" w:space="0" w:color="auto"/>
            <w:right w:val="none" w:sz="0" w:space="0" w:color="auto"/>
          </w:divBdr>
          <w:divsChild>
            <w:div w:id="1882784273">
              <w:marLeft w:val="0"/>
              <w:marRight w:val="0"/>
              <w:marTop w:val="0"/>
              <w:marBottom w:val="0"/>
              <w:divBdr>
                <w:top w:val="none" w:sz="0" w:space="0" w:color="auto"/>
                <w:left w:val="none" w:sz="0" w:space="0" w:color="auto"/>
                <w:bottom w:val="none" w:sz="0" w:space="0" w:color="auto"/>
                <w:right w:val="none" w:sz="0" w:space="0" w:color="auto"/>
              </w:divBdr>
              <w:divsChild>
                <w:div w:id="10363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33402">
      <w:bodyDiv w:val="1"/>
      <w:marLeft w:val="0"/>
      <w:marRight w:val="0"/>
      <w:marTop w:val="0"/>
      <w:marBottom w:val="0"/>
      <w:divBdr>
        <w:top w:val="none" w:sz="0" w:space="0" w:color="auto"/>
        <w:left w:val="none" w:sz="0" w:space="0" w:color="auto"/>
        <w:bottom w:val="none" w:sz="0" w:space="0" w:color="auto"/>
        <w:right w:val="none" w:sz="0" w:space="0" w:color="auto"/>
      </w:divBdr>
      <w:divsChild>
        <w:div w:id="1803577408">
          <w:marLeft w:val="0"/>
          <w:marRight w:val="0"/>
          <w:marTop w:val="0"/>
          <w:marBottom w:val="0"/>
          <w:divBdr>
            <w:top w:val="none" w:sz="0" w:space="0" w:color="auto"/>
            <w:left w:val="none" w:sz="0" w:space="0" w:color="auto"/>
            <w:bottom w:val="none" w:sz="0" w:space="0" w:color="auto"/>
            <w:right w:val="none" w:sz="0" w:space="0" w:color="auto"/>
          </w:divBdr>
          <w:divsChild>
            <w:div w:id="575438739">
              <w:marLeft w:val="0"/>
              <w:marRight w:val="0"/>
              <w:marTop w:val="0"/>
              <w:marBottom w:val="0"/>
              <w:divBdr>
                <w:top w:val="none" w:sz="0" w:space="0" w:color="auto"/>
                <w:left w:val="none" w:sz="0" w:space="0" w:color="auto"/>
                <w:bottom w:val="none" w:sz="0" w:space="0" w:color="auto"/>
                <w:right w:val="none" w:sz="0" w:space="0" w:color="auto"/>
              </w:divBdr>
              <w:divsChild>
                <w:div w:id="16535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6156">
      <w:bodyDiv w:val="1"/>
      <w:marLeft w:val="0"/>
      <w:marRight w:val="0"/>
      <w:marTop w:val="0"/>
      <w:marBottom w:val="0"/>
      <w:divBdr>
        <w:top w:val="none" w:sz="0" w:space="0" w:color="auto"/>
        <w:left w:val="none" w:sz="0" w:space="0" w:color="auto"/>
        <w:bottom w:val="none" w:sz="0" w:space="0" w:color="auto"/>
        <w:right w:val="none" w:sz="0" w:space="0" w:color="auto"/>
      </w:divBdr>
    </w:div>
    <w:div w:id="428038659">
      <w:bodyDiv w:val="1"/>
      <w:marLeft w:val="0"/>
      <w:marRight w:val="0"/>
      <w:marTop w:val="0"/>
      <w:marBottom w:val="0"/>
      <w:divBdr>
        <w:top w:val="none" w:sz="0" w:space="0" w:color="auto"/>
        <w:left w:val="none" w:sz="0" w:space="0" w:color="auto"/>
        <w:bottom w:val="none" w:sz="0" w:space="0" w:color="auto"/>
        <w:right w:val="none" w:sz="0" w:space="0" w:color="auto"/>
      </w:divBdr>
      <w:divsChild>
        <w:div w:id="2063943332">
          <w:marLeft w:val="0"/>
          <w:marRight w:val="0"/>
          <w:marTop w:val="0"/>
          <w:marBottom w:val="0"/>
          <w:divBdr>
            <w:top w:val="none" w:sz="0" w:space="0" w:color="auto"/>
            <w:left w:val="none" w:sz="0" w:space="0" w:color="auto"/>
            <w:bottom w:val="none" w:sz="0" w:space="0" w:color="auto"/>
            <w:right w:val="none" w:sz="0" w:space="0" w:color="auto"/>
          </w:divBdr>
          <w:divsChild>
            <w:div w:id="938563597">
              <w:marLeft w:val="0"/>
              <w:marRight w:val="0"/>
              <w:marTop w:val="0"/>
              <w:marBottom w:val="0"/>
              <w:divBdr>
                <w:top w:val="none" w:sz="0" w:space="0" w:color="auto"/>
                <w:left w:val="none" w:sz="0" w:space="0" w:color="auto"/>
                <w:bottom w:val="none" w:sz="0" w:space="0" w:color="auto"/>
                <w:right w:val="none" w:sz="0" w:space="0" w:color="auto"/>
              </w:divBdr>
              <w:divsChild>
                <w:div w:id="783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41388">
      <w:bodyDiv w:val="1"/>
      <w:marLeft w:val="0"/>
      <w:marRight w:val="0"/>
      <w:marTop w:val="0"/>
      <w:marBottom w:val="0"/>
      <w:divBdr>
        <w:top w:val="none" w:sz="0" w:space="0" w:color="auto"/>
        <w:left w:val="none" w:sz="0" w:space="0" w:color="auto"/>
        <w:bottom w:val="none" w:sz="0" w:space="0" w:color="auto"/>
        <w:right w:val="none" w:sz="0" w:space="0" w:color="auto"/>
      </w:divBdr>
      <w:divsChild>
        <w:div w:id="306252975">
          <w:marLeft w:val="0"/>
          <w:marRight w:val="0"/>
          <w:marTop w:val="0"/>
          <w:marBottom w:val="0"/>
          <w:divBdr>
            <w:top w:val="none" w:sz="0" w:space="0" w:color="auto"/>
            <w:left w:val="none" w:sz="0" w:space="0" w:color="auto"/>
            <w:bottom w:val="none" w:sz="0" w:space="0" w:color="auto"/>
            <w:right w:val="none" w:sz="0" w:space="0" w:color="auto"/>
          </w:divBdr>
          <w:divsChild>
            <w:div w:id="1047997807">
              <w:marLeft w:val="0"/>
              <w:marRight w:val="0"/>
              <w:marTop w:val="0"/>
              <w:marBottom w:val="0"/>
              <w:divBdr>
                <w:top w:val="none" w:sz="0" w:space="0" w:color="auto"/>
                <w:left w:val="none" w:sz="0" w:space="0" w:color="auto"/>
                <w:bottom w:val="none" w:sz="0" w:space="0" w:color="auto"/>
                <w:right w:val="none" w:sz="0" w:space="0" w:color="auto"/>
              </w:divBdr>
              <w:divsChild>
                <w:div w:id="1820922763">
                  <w:marLeft w:val="0"/>
                  <w:marRight w:val="0"/>
                  <w:marTop w:val="0"/>
                  <w:marBottom w:val="0"/>
                  <w:divBdr>
                    <w:top w:val="none" w:sz="0" w:space="0" w:color="auto"/>
                    <w:left w:val="none" w:sz="0" w:space="0" w:color="auto"/>
                    <w:bottom w:val="none" w:sz="0" w:space="0" w:color="auto"/>
                    <w:right w:val="none" w:sz="0" w:space="0" w:color="auto"/>
                  </w:divBdr>
                  <w:divsChild>
                    <w:div w:id="17102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16161">
      <w:bodyDiv w:val="1"/>
      <w:marLeft w:val="0"/>
      <w:marRight w:val="0"/>
      <w:marTop w:val="0"/>
      <w:marBottom w:val="0"/>
      <w:divBdr>
        <w:top w:val="none" w:sz="0" w:space="0" w:color="auto"/>
        <w:left w:val="none" w:sz="0" w:space="0" w:color="auto"/>
        <w:bottom w:val="none" w:sz="0" w:space="0" w:color="auto"/>
        <w:right w:val="none" w:sz="0" w:space="0" w:color="auto"/>
      </w:divBdr>
      <w:divsChild>
        <w:div w:id="839271409">
          <w:marLeft w:val="0"/>
          <w:marRight w:val="0"/>
          <w:marTop w:val="0"/>
          <w:marBottom w:val="0"/>
          <w:divBdr>
            <w:top w:val="none" w:sz="0" w:space="0" w:color="auto"/>
            <w:left w:val="none" w:sz="0" w:space="0" w:color="auto"/>
            <w:bottom w:val="none" w:sz="0" w:space="0" w:color="auto"/>
            <w:right w:val="none" w:sz="0" w:space="0" w:color="auto"/>
          </w:divBdr>
          <w:divsChild>
            <w:div w:id="2067758854">
              <w:marLeft w:val="0"/>
              <w:marRight w:val="0"/>
              <w:marTop w:val="0"/>
              <w:marBottom w:val="0"/>
              <w:divBdr>
                <w:top w:val="none" w:sz="0" w:space="0" w:color="auto"/>
                <w:left w:val="none" w:sz="0" w:space="0" w:color="auto"/>
                <w:bottom w:val="none" w:sz="0" w:space="0" w:color="auto"/>
                <w:right w:val="none" w:sz="0" w:space="0" w:color="auto"/>
              </w:divBdr>
              <w:divsChild>
                <w:div w:id="13406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4464">
      <w:bodyDiv w:val="1"/>
      <w:marLeft w:val="0"/>
      <w:marRight w:val="0"/>
      <w:marTop w:val="0"/>
      <w:marBottom w:val="0"/>
      <w:divBdr>
        <w:top w:val="none" w:sz="0" w:space="0" w:color="auto"/>
        <w:left w:val="none" w:sz="0" w:space="0" w:color="auto"/>
        <w:bottom w:val="none" w:sz="0" w:space="0" w:color="auto"/>
        <w:right w:val="none" w:sz="0" w:space="0" w:color="auto"/>
      </w:divBdr>
      <w:divsChild>
        <w:div w:id="1433893760">
          <w:marLeft w:val="0"/>
          <w:marRight w:val="0"/>
          <w:marTop w:val="0"/>
          <w:marBottom w:val="0"/>
          <w:divBdr>
            <w:top w:val="none" w:sz="0" w:space="0" w:color="auto"/>
            <w:left w:val="none" w:sz="0" w:space="0" w:color="auto"/>
            <w:bottom w:val="none" w:sz="0" w:space="0" w:color="auto"/>
            <w:right w:val="none" w:sz="0" w:space="0" w:color="auto"/>
          </w:divBdr>
          <w:divsChild>
            <w:div w:id="1274479885">
              <w:marLeft w:val="0"/>
              <w:marRight w:val="0"/>
              <w:marTop w:val="0"/>
              <w:marBottom w:val="0"/>
              <w:divBdr>
                <w:top w:val="none" w:sz="0" w:space="0" w:color="auto"/>
                <w:left w:val="none" w:sz="0" w:space="0" w:color="auto"/>
                <w:bottom w:val="none" w:sz="0" w:space="0" w:color="auto"/>
                <w:right w:val="none" w:sz="0" w:space="0" w:color="auto"/>
              </w:divBdr>
              <w:divsChild>
                <w:div w:id="3075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72230">
      <w:bodyDiv w:val="1"/>
      <w:marLeft w:val="0"/>
      <w:marRight w:val="0"/>
      <w:marTop w:val="0"/>
      <w:marBottom w:val="0"/>
      <w:divBdr>
        <w:top w:val="none" w:sz="0" w:space="0" w:color="auto"/>
        <w:left w:val="none" w:sz="0" w:space="0" w:color="auto"/>
        <w:bottom w:val="none" w:sz="0" w:space="0" w:color="auto"/>
        <w:right w:val="none" w:sz="0" w:space="0" w:color="auto"/>
      </w:divBdr>
      <w:divsChild>
        <w:div w:id="203296983">
          <w:marLeft w:val="0"/>
          <w:marRight w:val="0"/>
          <w:marTop w:val="0"/>
          <w:marBottom w:val="0"/>
          <w:divBdr>
            <w:top w:val="none" w:sz="0" w:space="0" w:color="auto"/>
            <w:left w:val="none" w:sz="0" w:space="0" w:color="auto"/>
            <w:bottom w:val="none" w:sz="0" w:space="0" w:color="auto"/>
            <w:right w:val="none" w:sz="0" w:space="0" w:color="auto"/>
          </w:divBdr>
          <w:divsChild>
            <w:div w:id="1057776587">
              <w:marLeft w:val="0"/>
              <w:marRight w:val="0"/>
              <w:marTop w:val="0"/>
              <w:marBottom w:val="0"/>
              <w:divBdr>
                <w:top w:val="none" w:sz="0" w:space="0" w:color="auto"/>
                <w:left w:val="none" w:sz="0" w:space="0" w:color="auto"/>
                <w:bottom w:val="none" w:sz="0" w:space="0" w:color="auto"/>
                <w:right w:val="none" w:sz="0" w:space="0" w:color="auto"/>
              </w:divBdr>
              <w:divsChild>
                <w:div w:id="1423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4256">
      <w:bodyDiv w:val="1"/>
      <w:marLeft w:val="0"/>
      <w:marRight w:val="0"/>
      <w:marTop w:val="0"/>
      <w:marBottom w:val="0"/>
      <w:divBdr>
        <w:top w:val="none" w:sz="0" w:space="0" w:color="auto"/>
        <w:left w:val="none" w:sz="0" w:space="0" w:color="auto"/>
        <w:bottom w:val="none" w:sz="0" w:space="0" w:color="auto"/>
        <w:right w:val="none" w:sz="0" w:space="0" w:color="auto"/>
      </w:divBdr>
      <w:divsChild>
        <w:div w:id="927158535">
          <w:marLeft w:val="0"/>
          <w:marRight w:val="0"/>
          <w:marTop w:val="0"/>
          <w:marBottom w:val="0"/>
          <w:divBdr>
            <w:top w:val="none" w:sz="0" w:space="0" w:color="auto"/>
            <w:left w:val="none" w:sz="0" w:space="0" w:color="auto"/>
            <w:bottom w:val="none" w:sz="0" w:space="0" w:color="auto"/>
            <w:right w:val="none" w:sz="0" w:space="0" w:color="auto"/>
          </w:divBdr>
          <w:divsChild>
            <w:div w:id="1830711212">
              <w:marLeft w:val="0"/>
              <w:marRight w:val="0"/>
              <w:marTop w:val="0"/>
              <w:marBottom w:val="0"/>
              <w:divBdr>
                <w:top w:val="none" w:sz="0" w:space="0" w:color="auto"/>
                <w:left w:val="none" w:sz="0" w:space="0" w:color="auto"/>
                <w:bottom w:val="none" w:sz="0" w:space="0" w:color="auto"/>
                <w:right w:val="none" w:sz="0" w:space="0" w:color="auto"/>
              </w:divBdr>
              <w:divsChild>
                <w:div w:id="15433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50070">
      <w:bodyDiv w:val="1"/>
      <w:marLeft w:val="0"/>
      <w:marRight w:val="0"/>
      <w:marTop w:val="0"/>
      <w:marBottom w:val="0"/>
      <w:divBdr>
        <w:top w:val="none" w:sz="0" w:space="0" w:color="auto"/>
        <w:left w:val="none" w:sz="0" w:space="0" w:color="auto"/>
        <w:bottom w:val="none" w:sz="0" w:space="0" w:color="auto"/>
        <w:right w:val="none" w:sz="0" w:space="0" w:color="auto"/>
      </w:divBdr>
      <w:divsChild>
        <w:div w:id="1154177671">
          <w:marLeft w:val="0"/>
          <w:marRight w:val="0"/>
          <w:marTop w:val="0"/>
          <w:marBottom w:val="0"/>
          <w:divBdr>
            <w:top w:val="none" w:sz="0" w:space="0" w:color="auto"/>
            <w:left w:val="none" w:sz="0" w:space="0" w:color="auto"/>
            <w:bottom w:val="none" w:sz="0" w:space="0" w:color="auto"/>
            <w:right w:val="none" w:sz="0" w:space="0" w:color="auto"/>
          </w:divBdr>
          <w:divsChild>
            <w:div w:id="705715051">
              <w:marLeft w:val="0"/>
              <w:marRight w:val="0"/>
              <w:marTop w:val="0"/>
              <w:marBottom w:val="0"/>
              <w:divBdr>
                <w:top w:val="none" w:sz="0" w:space="0" w:color="auto"/>
                <w:left w:val="none" w:sz="0" w:space="0" w:color="auto"/>
                <w:bottom w:val="none" w:sz="0" w:space="0" w:color="auto"/>
                <w:right w:val="none" w:sz="0" w:space="0" w:color="auto"/>
              </w:divBdr>
              <w:divsChild>
                <w:div w:id="19277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7467">
      <w:bodyDiv w:val="1"/>
      <w:marLeft w:val="0"/>
      <w:marRight w:val="0"/>
      <w:marTop w:val="0"/>
      <w:marBottom w:val="0"/>
      <w:divBdr>
        <w:top w:val="none" w:sz="0" w:space="0" w:color="auto"/>
        <w:left w:val="none" w:sz="0" w:space="0" w:color="auto"/>
        <w:bottom w:val="none" w:sz="0" w:space="0" w:color="auto"/>
        <w:right w:val="none" w:sz="0" w:space="0" w:color="auto"/>
      </w:divBdr>
    </w:div>
    <w:div w:id="474956026">
      <w:bodyDiv w:val="1"/>
      <w:marLeft w:val="0"/>
      <w:marRight w:val="0"/>
      <w:marTop w:val="0"/>
      <w:marBottom w:val="0"/>
      <w:divBdr>
        <w:top w:val="none" w:sz="0" w:space="0" w:color="auto"/>
        <w:left w:val="none" w:sz="0" w:space="0" w:color="auto"/>
        <w:bottom w:val="none" w:sz="0" w:space="0" w:color="auto"/>
        <w:right w:val="none" w:sz="0" w:space="0" w:color="auto"/>
      </w:divBdr>
    </w:div>
    <w:div w:id="482623035">
      <w:bodyDiv w:val="1"/>
      <w:marLeft w:val="0"/>
      <w:marRight w:val="0"/>
      <w:marTop w:val="0"/>
      <w:marBottom w:val="0"/>
      <w:divBdr>
        <w:top w:val="none" w:sz="0" w:space="0" w:color="auto"/>
        <w:left w:val="none" w:sz="0" w:space="0" w:color="auto"/>
        <w:bottom w:val="none" w:sz="0" w:space="0" w:color="auto"/>
        <w:right w:val="none" w:sz="0" w:space="0" w:color="auto"/>
      </w:divBdr>
      <w:divsChild>
        <w:div w:id="1623803840">
          <w:marLeft w:val="0"/>
          <w:marRight w:val="0"/>
          <w:marTop w:val="0"/>
          <w:marBottom w:val="0"/>
          <w:divBdr>
            <w:top w:val="none" w:sz="0" w:space="0" w:color="auto"/>
            <w:left w:val="none" w:sz="0" w:space="0" w:color="auto"/>
            <w:bottom w:val="none" w:sz="0" w:space="0" w:color="auto"/>
            <w:right w:val="none" w:sz="0" w:space="0" w:color="auto"/>
          </w:divBdr>
          <w:divsChild>
            <w:div w:id="1251542966">
              <w:marLeft w:val="0"/>
              <w:marRight w:val="0"/>
              <w:marTop w:val="0"/>
              <w:marBottom w:val="0"/>
              <w:divBdr>
                <w:top w:val="none" w:sz="0" w:space="0" w:color="auto"/>
                <w:left w:val="none" w:sz="0" w:space="0" w:color="auto"/>
                <w:bottom w:val="none" w:sz="0" w:space="0" w:color="auto"/>
                <w:right w:val="none" w:sz="0" w:space="0" w:color="auto"/>
              </w:divBdr>
              <w:divsChild>
                <w:div w:id="16747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9049">
      <w:bodyDiv w:val="1"/>
      <w:marLeft w:val="0"/>
      <w:marRight w:val="0"/>
      <w:marTop w:val="0"/>
      <w:marBottom w:val="0"/>
      <w:divBdr>
        <w:top w:val="none" w:sz="0" w:space="0" w:color="auto"/>
        <w:left w:val="none" w:sz="0" w:space="0" w:color="auto"/>
        <w:bottom w:val="none" w:sz="0" w:space="0" w:color="auto"/>
        <w:right w:val="none" w:sz="0" w:space="0" w:color="auto"/>
      </w:divBdr>
      <w:divsChild>
        <w:div w:id="1493527615">
          <w:marLeft w:val="0"/>
          <w:marRight w:val="0"/>
          <w:marTop w:val="0"/>
          <w:marBottom w:val="0"/>
          <w:divBdr>
            <w:top w:val="none" w:sz="0" w:space="0" w:color="auto"/>
            <w:left w:val="none" w:sz="0" w:space="0" w:color="auto"/>
            <w:bottom w:val="none" w:sz="0" w:space="0" w:color="auto"/>
            <w:right w:val="none" w:sz="0" w:space="0" w:color="auto"/>
          </w:divBdr>
          <w:divsChild>
            <w:div w:id="1733193906">
              <w:marLeft w:val="0"/>
              <w:marRight w:val="0"/>
              <w:marTop w:val="0"/>
              <w:marBottom w:val="0"/>
              <w:divBdr>
                <w:top w:val="none" w:sz="0" w:space="0" w:color="auto"/>
                <w:left w:val="none" w:sz="0" w:space="0" w:color="auto"/>
                <w:bottom w:val="none" w:sz="0" w:space="0" w:color="auto"/>
                <w:right w:val="none" w:sz="0" w:space="0" w:color="auto"/>
              </w:divBdr>
            </w:div>
            <w:div w:id="2032534694">
              <w:marLeft w:val="0"/>
              <w:marRight w:val="0"/>
              <w:marTop w:val="0"/>
              <w:marBottom w:val="0"/>
              <w:divBdr>
                <w:top w:val="none" w:sz="0" w:space="0" w:color="auto"/>
                <w:left w:val="none" w:sz="0" w:space="0" w:color="auto"/>
                <w:bottom w:val="none" w:sz="0" w:space="0" w:color="auto"/>
                <w:right w:val="none" w:sz="0" w:space="0" w:color="auto"/>
              </w:divBdr>
            </w:div>
          </w:divsChild>
        </w:div>
        <w:div w:id="1456290837">
          <w:marLeft w:val="0"/>
          <w:marRight w:val="0"/>
          <w:marTop w:val="0"/>
          <w:marBottom w:val="0"/>
          <w:divBdr>
            <w:top w:val="none" w:sz="0" w:space="0" w:color="auto"/>
            <w:left w:val="none" w:sz="0" w:space="0" w:color="auto"/>
            <w:bottom w:val="none" w:sz="0" w:space="0" w:color="auto"/>
            <w:right w:val="none" w:sz="0" w:space="0" w:color="auto"/>
          </w:divBdr>
        </w:div>
        <w:div w:id="396903835">
          <w:marLeft w:val="0"/>
          <w:marRight w:val="0"/>
          <w:marTop w:val="0"/>
          <w:marBottom w:val="0"/>
          <w:divBdr>
            <w:top w:val="none" w:sz="0" w:space="0" w:color="auto"/>
            <w:left w:val="none" w:sz="0" w:space="0" w:color="auto"/>
            <w:bottom w:val="none" w:sz="0" w:space="0" w:color="auto"/>
            <w:right w:val="none" w:sz="0" w:space="0" w:color="auto"/>
          </w:divBdr>
        </w:div>
        <w:div w:id="1805926061">
          <w:marLeft w:val="0"/>
          <w:marRight w:val="0"/>
          <w:marTop w:val="0"/>
          <w:marBottom w:val="0"/>
          <w:divBdr>
            <w:top w:val="none" w:sz="0" w:space="0" w:color="auto"/>
            <w:left w:val="none" w:sz="0" w:space="0" w:color="auto"/>
            <w:bottom w:val="none" w:sz="0" w:space="0" w:color="auto"/>
            <w:right w:val="none" w:sz="0" w:space="0" w:color="auto"/>
          </w:divBdr>
        </w:div>
        <w:div w:id="62992457">
          <w:marLeft w:val="0"/>
          <w:marRight w:val="0"/>
          <w:marTop w:val="0"/>
          <w:marBottom w:val="0"/>
          <w:divBdr>
            <w:top w:val="none" w:sz="0" w:space="0" w:color="auto"/>
            <w:left w:val="none" w:sz="0" w:space="0" w:color="auto"/>
            <w:bottom w:val="none" w:sz="0" w:space="0" w:color="auto"/>
            <w:right w:val="none" w:sz="0" w:space="0" w:color="auto"/>
          </w:divBdr>
        </w:div>
        <w:div w:id="1884827348">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sChild>
    </w:div>
    <w:div w:id="500705457">
      <w:bodyDiv w:val="1"/>
      <w:marLeft w:val="0"/>
      <w:marRight w:val="0"/>
      <w:marTop w:val="0"/>
      <w:marBottom w:val="0"/>
      <w:divBdr>
        <w:top w:val="none" w:sz="0" w:space="0" w:color="auto"/>
        <w:left w:val="none" w:sz="0" w:space="0" w:color="auto"/>
        <w:bottom w:val="none" w:sz="0" w:space="0" w:color="auto"/>
        <w:right w:val="none" w:sz="0" w:space="0" w:color="auto"/>
      </w:divBdr>
    </w:div>
    <w:div w:id="518472568">
      <w:bodyDiv w:val="1"/>
      <w:marLeft w:val="0"/>
      <w:marRight w:val="0"/>
      <w:marTop w:val="0"/>
      <w:marBottom w:val="0"/>
      <w:divBdr>
        <w:top w:val="none" w:sz="0" w:space="0" w:color="auto"/>
        <w:left w:val="none" w:sz="0" w:space="0" w:color="auto"/>
        <w:bottom w:val="none" w:sz="0" w:space="0" w:color="auto"/>
        <w:right w:val="none" w:sz="0" w:space="0" w:color="auto"/>
      </w:divBdr>
      <w:divsChild>
        <w:div w:id="362750482">
          <w:marLeft w:val="0"/>
          <w:marRight w:val="0"/>
          <w:marTop w:val="0"/>
          <w:marBottom w:val="0"/>
          <w:divBdr>
            <w:top w:val="none" w:sz="0" w:space="0" w:color="auto"/>
            <w:left w:val="none" w:sz="0" w:space="0" w:color="auto"/>
            <w:bottom w:val="none" w:sz="0" w:space="0" w:color="auto"/>
            <w:right w:val="none" w:sz="0" w:space="0" w:color="auto"/>
          </w:divBdr>
          <w:divsChild>
            <w:div w:id="250939246">
              <w:marLeft w:val="0"/>
              <w:marRight w:val="0"/>
              <w:marTop w:val="0"/>
              <w:marBottom w:val="0"/>
              <w:divBdr>
                <w:top w:val="none" w:sz="0" w:space="0" w:color="auto"/>
                <w:left w:val="none" w:sz="0" w:space="0" w:color="auto"/>
                <w:bottom w:val="none" w:sz="0" w:space="0" w:color="auto"/>
                <w:right w:val="none" w:sz="0" w:space="0" w:color="auto"/>
              </w:divBdr>
              <w:divsChild>
                <w:div w:id="1067219700">
                  <w:marLeft w:val="0"/>
                  <w:marRight w:val="0"/>
                  <w:marTop w:val="0"/>
                  <w:marBottom w:val="0"/>
                  <w:divBdr>
                    <w:top w:val="none" w:sz="0" w:space="0" w:color="auto"/>
                    <w:left w:val="none" w:sz="0" w:space="0" w:color="auto"/>
                    <w:bottom w:val="none" w:sz="0" w:space="0" w:color="auto"/>
                    <w:right w:val="none" w:sz="0" w:space="0" w:color="auto"/>
                  </w:divBdr>
                  <w:divsChild>
                    <w:div w:id="9978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48707">
      <w:bodyDiv w:val="1"/>
      <w:marLeft w:val="0"/>
      <w:marRight w:val="0"/>
      <w:marTop w:val="0"/>
      <w:marBottom w:val="0"/>
      <w:divBdr>
        <w:top w:val="none" w:sz="0" w:space="0" w:color="auto"/>
        <w:left w:val="none" w:sz="0" w:space="0" w:color="auto"/>
        <w:bottom w:val="none" w:sz="0" w:space="0" w:color="auto"/>
        <w:right w:val="none" w:sz="0" w:space="0" w:color="auto"/>
      </w:divBdr>
      <w:divsChild>
        <w:div w:id="890506909">
          <w:marLeft w:val="0"/>
          <w:marRight w:val="0"/>
          <w:marTop w:val="0"/>
          <w:marBottom w:val="0"/>
          <w:divBdr>
            <w:top w:val="none" w:sz="0" w:space="0" w:color="auto"/>
            <w:left w:val="none" w:sz="0" w:space="0" w:color="auto"/>
            <w:bottom w:val="none" w:sz="0" w:space="0" w:color="auto"/>
            <w:right w:val="none" w:sz="0" w:space="0" w:color="auto"/>
          </w:divBdr>
          <w:divsChild>
            <w:div w:id="1990867797">
              <w:marLeft w:val="0"/>
              <w:marRight w:val="0"/>
              <w:marTop w:val="0"/>
              <w:marBottom w:val="0"/>
              <w:divBdr>
                <w:top w:val="none" w:sz="0" w:space="0" w:color="auto"/>
                <w:left w:val="none" w:sz="0" w:space="0" w:color="auto"/>
                <w:bottom w:val="none" w:sz="0" w:space="0" w:color="auto"/>
                <w:right w:val="none" w:sz="0" w:space="0" w:color="auto"/>
              </w:divBdr>
              <w:divsChild>
                <w:div w:id="3809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2004">
      <w:bodyDiv w:val="1"/>
      <w:marLeft w:val="0"/>
      <w:marRight w:val="0"/>
      <w:marTop w:val="0"/>
      <w:marBottom w:val="0"/>
      <w:divBdr>
        <w:top w:val="none" w:sz="0" w:space="0" w:color="auto"/>
        <w:left w:val="none" w:sz="0" w:space="0" w:color="auto"/>
        <w:bottom w:val="none" w:sz="0" w:space="0" w:color="auto"/>
        <w:right w:val="none" w:sz="0" w:space="0" w:color="auto"/>
      </w:divBdr>
      <w:divsChild>
        <w:div w:id="384451399">
          <w:marLeft w:val="0"/>
          <w:marRight w:val="0"/>
          <w:marTop w:val="0"/>
          <w:marBottom w:val="0"/>
          <w:divBdr>
            <w:top w:val="none" w:sz="0" w:space="0" w:color="auto"/>
            <w:left w:val="none" w:sz="0" w:space="0" w:color="auto"/>
            <w:bottom w:val="none" w:sz="0" w:space="0" w:color="auto"/>
            <w:right w:val="none" w:sz="0" w:space="0" w:color="auto"/>
          </w:divBdr>
          <w:divsChild>
            <w:div w:id="66610247">
              <w:marLeft w:val="0"/>
              <w:marRight w:val="0"/>
              <w:marTop w:val="0"/>
              <w:marBottom w:val="0"/>
              <w:divBdr>
                <w:top w:val="none" w:sz="0" w:space="0" w:color="auto"/>
                <w:left w:val="none" w:sz="0" w:space="0" w:color="auto"/>
                <w:bottom w:val="none" w:sz="0" w:space="0" w:color="auto"/>
                <w:right w:val="none" w:sz="0" w:space="0" w:color="auto"/>
              </w:divBdr>
              <w:divsChild>
                <w:div w:id="6446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3177">
          <w:marLeft w:val="0"/>
          <w:marRight w:val="0"/>
          <w:marTop w:val="0"/>
          <w:marBottom w:val="0"/>
          <w:divBdr>
            <w:top w:val="none" w:sz="0" w:space="0" w:color="auto"/>
            <w:left w:val="none" w:sz="0" w:space="0" w:color="auto"/>
            <w:bottom w:val="none" w:sz="0" w:space="0" w:color="auto"/>
            <w:right w:val="none" w:sz="0" w:space="0" w:color="auto"/>
          </w:divBdr>
          <w:divsChild>
            <w:div w:id="590433766">
              <w:marLeft w:val="0"/>
              <w:marRight w:val="0"/>
              <w:marTop w:val="0"/>
              <w:marBottom w:val="0"/>
              <w:divBdr>
                <w:top w:val="none" w:sz="0" w:space="0" w:color="auto"/>
                <w:left w:val="none" w:sz="0" w:space="0" w:color="auto"/>
                <w:bottom w:val="none" w:sz="0" w:space="0" w:color="auto"/>
                <w:right w:val="none" w:sz="0" w:space="0" w:color="auto"/>
              </w:divBdr>
              <w:divsChild>
                <w:div w:id="6021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5565">
          <w:marLeft w:val="0"/>
          <w:marRight w:val="0"/>
          <w:marTop w:val="0"/>
          <w:marBottom w:val="0"/>
          <w:divBdr>
            <w:top w:val="none" w:sz="0" w:space="0" w:color="auto"/>
            <w:left w:val="none" w:sz="0" w:space="0" w:color="auto"/>
            <w:bottom w:val="none" w:sz="0" w:space="0" w:color="auto"/>
            <w:right w:val="none" w:sz="0" w:space="0" w:color="auto"/>
          </w:divBdr>
          <w:divsChild>
            <w:div w:id="1753623056">
              <w:marLeft w:val="0"/>
              <w:marRight w:val="0"/>
              <w:marTop w:val="0"/>
              <w:marBottom w:val="0"/>
              <w:divBdr>
                <w:top w:val="none" w:sz="0" w:space="0" w:color="auto"/>
                <w:left w:val="none" w:sz="0" w:space="0" w:color="auto"/>
                <w:bottom w:val="none" w:sz="0" w:space="0" w:color="auto"/>
                <w:right w:val="none" w:sz="0" w:space="0" w:color="auto"/>
              </w:divBdr>
              <w:divsChild>
                <w:div w:id="261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385">
          <w:marLeft w:val="0"/>
          <w:marRight w:val="0"/>
          <w:marTop w:val="0"/>
          <w:marBottom w:val="0"/>
          <w:divBdr>
            <w:top w:val="none" w:sz="0" w:space="0" w:color="auto"/>
            <w:left w:val="none" w:sz="0" w:space="0" w:color="auto"/>
            <w:bottom w:val="none" w:sz="0" w:space="0" w:color="auto"/>
            <w:right w:val="none" w:sz="0" w:space="0" w:color="auto"/>
          </w:divBdr>
          <w:divsChild>
            <w:div w:id="1136682128">
              <w:marLeft w:val="0"/>
              <w:marRight w:val="0"/>
              <w:marTop w:val="0"/>
              <w:marBottom w:val="0"/>
              <w:divBdr>
                <w:top w:val="none" w:sz="0" w:space="0" w:color="auto"/>
                <w:left w:val="none" w:sz="0" w:space="0" w:color="auto"/>
                <w:bottom w:val="none" w:sz="0" w:space="0" w:color="auto"/>
                <w:right w:val="none" w:sz="0" w:space="0" w:color="auto"/>
              </w:divBdr>
              <w:divsChild>
                <w:div w:id="12094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8898">
          <w:marLeft w:val="0"/>
          <w:marRight w:val="0"/>
          <w:marTop w:val="0"/>
          <w:marBottom w:val="0"/>
          <w:divBdr>
            <w:top w:val="none" w:sz="0" w:space="0" w:color="auto"/>
            <w:left w:val="none" w:sz="0" w:space="0" w:color="auto"/>
            <w:bottom w:val="none" w:sz="0" w:space="0" w:color="auto"/>
            <w:right w:val="none" w:sz="0" w:space="0" w:color="auto"/>
          </w:divBdr>
          <w:divsChild>
            <w:div w:id="897665107">
              <w:marLeft w:val="0"/>
              <w:marRight w:val="0"/>
              <w:marTop w:val="0"/>
              <w:marBottom w:val="0"/>
              <w:divBdr>
                <w:top w:val="none" w:sz="0" w:space="0" w:color="auto"/>
                <w:left w:val="none" w:sz="0" w:space="0" w:color="auto"/>
                <w:bottom w:val="none" w:sz="0" w:space="0" w:color="auto"/>
                <w:right w:val="none" w:sz="0" w:space="0" w:color="auto"/>
              </w:divBdr>
              <w:divsChild>
                <w:div w:id="1174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9150">
      <w:bodyDiv w:val="1"/>
      <w:marLeft w:val="0"/>
      <w:marRight w:val="0"/>
      <w:marTop w:val="0"/>
      <w:marBottom w:val="0"/>
      <w:divBdr>
        <w:top w:val="none" w:sz="0" w:space="0" w:color="auto"/>
        <w:left w:val="none" w:sz="0" w:space="0" w:color="auto"/>
        <w:bottom w:val="none" w:sz="0" w:space="0" w:color="auto"/>
        <w:right w:val="none" w:sz="0" w:space="0" w:color="auto"/>
      </w:divBdr>
      <w:divsChild>
        <w:div w:id="1151362433">
          <w:marLeft w:val="0"/>
          <w:marRight w:val="0"/>
          <w:marTop w:val="0"/>
          <w:marBottom w:val="0"/>
          <w:divBdr>
            <w:top w:val="none" w:sz="0" w:space="0" w:color="auto"/>
            <w:left w:val="none" w:sz="0" w:space="0" w:color="auto"/>
            <w:bottom w:val="none" w:sz="0" w:space="0" w:color="auto"/>
            <w:right w:val="none" w:sz="0" w:space="0" w:color="auto"/>
          </w:divBdr>
          <w:divsChild>
            <w:div w:id="1134448717">
              <w:marLeft w:val="0"/>
              <w:marRight w:val="0"/>
              <w:marTop w:val="0"/>
              <w:marBottom w:val="0"/>
              <w:divBdr>
                <w:top w:val="none" w:sz="0" w:space="0" w:color="auto"/>
                <w:left w:val="none" w:sz="0" w:space="0" w:color="auto"/>
                <w:bottom w:val="none" w:sz="0" w:space="0" w:color="auto"/>
                <w:right w:val="none" w:sz="0" w:space="0" w:color="auto"/>
              </w:divBdr>
              <w:divsChild>
                <w:div w:id="12182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0859">
      <w:bodyDiv w:val="1"/>
      <w:marLeft w:val="0"/>
      <w:marRight w:val="0"/>
      <w:marTop w:val="0"/>
      <w:marBottom w:val="0"/>
      <w:divBdr>
        <w:top w:val="none" w:sz="0" w:space="0" w:color="auto"/>
        <w:left w:val="none" w:sz="0" w:space="0" w:color="auto"/>
        <w:bottom w:val="none" w:sz="0" w:space="0" w:color="auto"/>
        <w:right w:val="none" w:sz="0" w:space="0" w:color="auto"/>
      </w:divBdr>
      <w:divsChild>
        <w:div w:id="200286851">
          <w:marLeft w:val="0"/>
          <w:marRight w:val="0"/>
          <w:marTop w:val="0"/>
          <w:marBottom w:val="0"/>
          <w:divBdr>
            <w:top w:val="none" w:sz="0" w:space="0" w:color="auto"/>
            <w:left w:val="none" w:sz="0" w:space="0" w:color="auto"/>
            <w:bottom w:val="none" w:sz="0" w:space="0" w:color="auto"/>
            <w:right w:val="none" w:sz="0" w:space="0" w:color="auto"/>
          </w:divBdr>
          <w:divsChild>
            <w:div w:id="2098013200">
              <w:marLeft w:val="0"/>
              <w:marRight w:val="0"/>
              <w:marTop w:val="0"/>
              <w:marBottom w:val="0"/>
              <w:divBdr>
                <w:top w:val="none" w:sz="0" w:space="0" w:color="auto"/>
                <w:left w:val="none" w:sz="0" w:space="0" w:color="auto"/>
                <w:bottom w:val="none" w:sz="0" w:space="0" w:color="auto"/>
                <w:right w:val="none" w:sz="0" w:space="0" w:color="auto"/>
              </w:divBdr>
              <w:divsChild>
                <w:div w:id="175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19278">
      <w:bodyDiv w:val="1"/>
      <w:marLeft w:val="0"/>
      <w:marRight w:val="0"/>
      <w:marTop w:val="0"/>
      <w:marBottom w:val="0"/>
      <w:divBdr>
        <w:top w:val="none" w:sz="0" w:space="0" w:color="auto"/>
        <w:left w:val="none" w:sz="0" w:space="0" w:color="auto"/>
        <w:bottom w:val="none" w:sz="0" w:space="0" w:color="auto"/>
        <w:right w:val="none" w:sz="0" w:space="0" w:color="auto"/>
      </w:divBdr>
      <w:divsChild>
        <w:div w:id="146944468">
          <w:marLeft w:val="0"/>
          <w:marRight w:val="0"/>
          <w:marTop w:val="0"/>
          <w:marBottom w:val="0"/>
          <w:divBdr>
            <w:top w:val="none" w:sz="0" w:space="0" w:color="auto"/>
            <w:left w:val="none" w:sz="0" w:space="0" w:color="auto"/>
            <w:bottom w:val="none" w:sz="0" w:space="0" w:color="auto"/>
            <w:right w:val="none" w:sz="0" w:space="0" w:color="auto"/>
          </w:divBdr>
          <w:divsChild>
            <w:div w:id="1953321439">
              <w:marLeft w:val="0"/>
              <w:marRight w:val="0"/>
              <w:marTop w:val="0"/>
              <w:marBottom w:val="0"/>
              <w:divBdr>
                <w:top w:val="none" w:sz="0" w:space="0" w:color="auto"/>
                <w:left w:val="none" w:sz="0" w:space="0" w:color="auto"/>
                <w:bottom w:val="none" w:sz="0" w:space="0" w:color="auto"/>
                <w:right w:val="none" w:sz="0" w:space="0" w:color="auto"/>
              </w:divBdr>
              <w:divsChild>
                <w:div w:id="19417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15846">
      <w:bodyDiv w:val="1"/>
      <w:marLeft w:val="0"/>
      <w:marRight w:val="0"/>
      <w:marTop w:val="0"/>
      <w:marBottom w:val="0"/>
      <w:divBdr>
        <w:top w:val="none" w:sz="0" w:space="0" w:color="auto"/>
        <w:left w:val="none" w:sz="0" w:space="0" w:color="auto"/>
        <w:bottom w:val="none" w:sz="0" w:space="0" w:color="auto"/>
        <w:right w:val="none" w:sz="0" w:space="0" w:color="auto"/>
      </w:divBdr>
      <w:divsChild>
        <w:div w:id="258106196">
          <w:marLeft w:val="0"/>
          <w:marRight w:val="0"/>
          <w:marTop w:val="0"/>
          <w:marBottom w:val="0"/>
          <w:divBdr>
            <w:top w:val="none" w:sz="0" w:space="0" w:color="auto"/>
            <w:left w:val="none" w:sz="0" w:space="0" w:color="auto"/>
            <w:bottom w:val="none" w:sz="0" w:space="0" w:color="auto"/>
            <w:right w:val="none" w:sz="0" w:space="0" w:color="auto"/>
          </w:divBdr>
          <w:divsChild>
            <w:div w:id="915627258">
              <w:marLeft w:val="0"/>
              <w:marRight w:val="0"/>
              <w:marTop w:val="0"/>
              <w:marBottom w:val="0"/>
              <w:divBdr>
                <w:top w:val="none" w:sz="0" w:space="0" w:color="auto"/>
                <w:left w:val="none" w:sz="0" w:space="0" w:color="auto"/>
                <w:bottom w:val="none" w:sz="0" w:space="0" w:color="auto"/>
                <w:right w:val="none" w:sz="0" w:space="0" w:color="auto"/>
              </w:divBdr>
              <w:divsChild>
                <w:div w:id="18767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7002">
      <w:bodyDiv w:val="1"/>
      <w:marLeft w:val="0"/>
      <w:marRight w:val="0"/>
      <w:marTop w:val="0"/>
      <w:marBottom w:val="0"/>
      <w:divBdr>
        <w:top w:val="none" w:sz="0" w:space="0" w:color="auto"/>
        <w:left w:val="none" w:sz="0" w:space="0" w:color="auto"/>
        <w:bottom w:val="none" w:sz="0" w:space="0" w:color="auto"/>
        <w:right w:val="none" w:sz="0" w:space="0" w:color="auto"/>
      </w:divBdr>
      <w:divsChild>
        <w:div w:id="512305312">
          <w:marLeft w:val="0"/>
          <w:marRight w:val="0"/>
          <w:marTop w:val="0"/>
          <w:marBottom w:val="0"/>
          <w:divBdr>
            <w:top w:val="none" w:sz="0" w:space="0" w:color="auto"/>
            <w:left w:val="none" w:sz="0" w:space="0" w:color="auto"/>
            <w:bottom w:val="none" w:sz="0" w:space="0" w:color="auto"/>
            <w:right w:val="none" w:sz="0" w:space="0" w:color="auto"/>
          </w:divBdr>
          <w:divsChild>
            <w:div w:id="877427384">
              <w:marLeft w:val="0"/>
              <w:marRight w:val="0"/>
              <w:marTop w:val="0"/>
              <w:marBottom w:val="0"/>
              <w:divBdr>
                <w:top w:val="none" w:sz="0" w:space="0" w:color="auto"/>
                <w:left w:val="none" w:sz="0" w:space="0" w:color="auto"/>
                <w:bottom w:val="none" w:sz="0" w:space="0" w:color="auto"/>
                <w:right w:val="none" w:sz="0" w:space="0" w:color="auto"/>
              </w:divBdr>
              <w:divsChild>
                <w:div w:id="8153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29455">
      <w:bodyDiv w:val="1"/>
      <w:marLeft w:val="0"/>
      <w:marRight w:val="0"/>
      <w:marTop w:val="0"/>
      <w:marBottom w:val="0"/>
      <w:divBdr>
        <w:top w:val="none" w:sz="0" w:space="0" w:color="auto"/>
        <w:left w:val="none" w:sz="0" w:space="0" w:color="auto"/>
        <w:bottom w:val="none" w:sz="0" w:space="0" w:color="auto"/>
        <w:right w:val="none" w:sz="0" w:space="0" w:color="auto"/>
      </w:divBdr>
      <w:divsChild>
        <w:div w:id="2076202918">
          <w:marLeft w:val="0"/>
          <w:marRight w:val="0"/>
          <w:marTop w:val="0"/>
          <w:marBottom w:val="0"/>
          <w:divBdr>
            <w:top w:val="none" w:sz="0" w:space="0" w:color="auto"/>
            <w:left w:val="none" w:sz="0" w:space="0" w:color="auto"/>
            <w:bottom w:val="none" w:sz="0" w:space="0" w:color="auto"/>
            <w:right w:val="none" w:sz="0" w:space="0" w:color="auto"/>
          </w:divBdr>
          <w:divsChild>
            <w:div w:id="1794061339">
              <w:marLeft w:val="0"/>
              <w:marRight w:val="0"/>
              <w:marTop w:val="0"/>
              <w:marBottom w:val="0"/>
              <w:divBdr>
                <w:top w:val="none" w:sz="0" w:space="0" w:color="auto"/>
                <w:left w:val="none" w:sz="0" w:space="0" w:color="auto"/>
                <w:bottom w:val="none" w:sz="0" w:space="0" w:color="auto"/>
                <w:right w:val="none" w:sz="0" w:space="0" w:color="auto"/>
              </w:divBdr>
              <w:divsChild>
                <w:div w:id="5318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8456">
      <w:bodyDiv w:val="1"/>
      <w:marLeft w:val="0"/>
      <w:marRight w:val="0"/>
      <w:marTop w:val="0"/>
      <w:marBottom w:val="0"/>
      <w:divBdr>
        <w:top w:val="none" w:sz="0" w:space="0" w:color="auto"/>
        <w:left w:val="none" w:sz="0" w:space="0" w:color="auto"/>
        <w:bottom w:val="none" w:sz="0" w:space="0" w:color="auto"/>
        <w:right w:val="none" w:sz="0" w:space="0" w:color="auto"/>
      </w:divBdr>
      <w:divsChild>
        <w:div w:id="697244675">
          <w:marLeft w:val="0"/>
          <w:marRight w:val="0"/>
          <w:marTop w:val="0"/>
          <w:marBottom w:val="0"/>
          <w:divBdr>
            <w:top w:val="none" w:sz="0" w:space="0" w:color="auto"/>
            <w:left w:val="none" w:sz="0" w:space="0" w:color="auto"/>
            <w:bottom w:val="none" w:sz="0" w:space="0" w:color="auto"/>
            <w:right w:val="none" w:sz="0" w:space="0" w:color="auto"/>
          </w:divBdr>
          <w:divsChild>
            <w:div w:id="1293557123">
              <w:marLeft w:val="0"/>
              <w:marRight w:val="0"/>
              <w:marTop w:val="0"/>
              <w:marBottom w:val="0"/>
              <w:divBdr>
                <w:top w:val="none" w:sz="0" w:space="0" w:color="auto"/>
                <w:left w:val="none" w:sz="0" w:space="0" w:color="auto"/>
                <w:bottom w:val="none" w:sz="0" w:space="0" w:color="auto"/>
                <w:right w:val="none" w:sz="0" w:space="0" w:color="auto"/>
              </w:divBdr>
              <w:divsChild>
                <w:div w:id="8392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6441">
      <w:bodyDiv w:val="1"/>
      <w:marLeft w:val="0"/>
      <w:marRight w:val="0"/>
      <w:marTop w:val="0"/>
      <w:marBottom w:val="0"/>
      <w:divBdr>
        <w:top w:val="none" w:sz="0" w:space="0" w:color="auto"/>
        <w:left w:val="none" w:sz="0" w:space="0" w:color="auto"/>
        <w:bottom w:val="none" w:sz="0" w:space="0" w:color="auto"/>
        <w:right w:val="none" w:sz="0" w:space="0" w:color="auto"/>
      </w:divBdr>
      <w:divsChild>
        <w:div w:id="1350371876">
          <w:marLeft w:val="0"/>
          <w:marRight w:val="0"/>
          <w:marTop w:val="0"/>
          <w:marBottom w:val="0"/>
          <w:divBdr>
            <w:top w:val="none" w:sz="0" w:space="0" w:color="auto"/>
            <w:left w:val="none" w:sz="0" w:space="0" w:color="auto"/>
            <w:bottom w:val="none" w:sz="0" w:space="0" w:color="auto"/>
            <w:right w:val="none" w:sz="0" w:space="0" w:color="auto"/>
          </w:divBdr>
          <w:divsChild>
            <w:div w:id="1505778263">
              <w:marLeft w:val="0"/>
              <w:marRight w:val="0"/>
              <w:marTop w:val="0"/>
              <w:marBottom w:val="0"/>
              <w:divBdr>
                <w:top w:val="none" w:sz="0" w:space="0" w:color="auto"/>
                <w:left w:val="none" w:sz="0" w:space="0" w:color="auto"/>
                <w:bottom w:val="none" w:sz="0" w:space="0" w:color="auto"/>
                <w:right w:val="none" w:sz="0" w:space="0" w:color="auto"/>
              </w:divBdr>
              <w:divsChild>
                <w:div w:id="5524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72797">
      <w:bodyDiv w:val="1"/>
      <w:marLeft w:val="0"/>
      <w:marRight w:val="0"/>
      <w:marTop w:val="0"/>
      <w:marBottom w:val="0"/>
      <w:divBdr>
        <w:top w:val="none" w:sz="0" w:space="0" w:color="auto"/>
        <w:left w:val="none" w:sz="0" w:space="0" w:color="auto"/>
        <w:bottom w:val="none" w:sz="0" w:space="0" w:color="auto"/>
        <w:right w:val="none" w:sz="0" w:space="0" w:color="auto"/>
      </w:divBdr>
    </w:div>
    <w:div w:id="564296227">
      <w:bodyDiv w:val="1"/>
      <w:marLeft w:val="0"/>
      <w:marRight w:val="0"/>
      <w:marTop w:val="0"/>
      <w:marBottom w:val="0"/>
      <w:divBdr>
        <w:top w:val="none" w:sz="0" w:space="0" w:color="auto"/>
        <w:left w:val="none" w:sz="0" w:space="0" w:color="auto"/>
        <w:bottom w:val="none" w:sz="0" w:space="0" w:color="auto"/>
        <w:right w:val="none" w:sz="0" w:space="0" w:color="auto"/>
      </w:divBdr>
    </w:div>
    <w:div w:id="565259643">
      <w:bodyDiv w:val="1"/>
      <w:marLeft w:val="0"/>
      <w:marRight w:val="0"/>
      <w:marTop w:val="0"/>
      <w:marBottom w:val="0"/>
      <w:divBdr>
        <w:top w:val="none" w:sz="0" w:space="0" w:color="auto"/>
        <w:left w:val="none" w:sz="0" w:space="0" w:color="auto"/>
        <w:bottom w:val="none" w:sz="0" w:space="0" w:color="auto"/>
        <w:right w:val="none" w:sz="0" w:space="0" w:color="auto"/>
      </w:divBdr>
      <w:divsChild>
        <w:div w:id="839351269">
          <w:marLeft w:val="0"/>
          <w:marRight w:val="0"/>
          <w:marTop w:val="0"/>
          <w:marBottom w:val="0"/>
          <w:divBdr>
            <w:top w:val="none" w:sz="0" w:space="0" w:color="auto"/>
            <w:left w:val="none" w:sz="0" w:space="0" w:color="auto"/>
            <w:bottom w:val="none" w:sz="0" w:space="0" w:color="auto"/>
            <w:right w:val="none" w:sz="0" w:space="0" w:color="auto"/>
          </w:divBdr>
          <w:divsChild>
            <w:div w:id="1490369868">
              <w:marLeft w:val="0"/>
              <w:marRight w:val="0"/>
              <w:marTop w:val="0"/>
              <w:marBottom w:val="0"/>
              <w:divBdr>
                <w:top w:val="none" w:sz="0" w:space="0" w:color="auto"/>
                <w:left w:val="none" w:sz="0" w:space="0" w:color="auto"/>
                <w:bottom w:val="none" w:sz="0" w:space="0" w:color="auto"/>
                <w:right w:val="none" w:sz="0" w:space="0" w:color="auto"/>
              </w:divBdr>
              <w:divsChild>
                <w:div w:id="20495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2171">
      <w:bodyDiv w:val="1"/>
      <w:marLeft w:val="0"/>
      <w:marRight w:val="0"/>
      <w:marTop w:val="0"/>
      <w:marBottom w:val="0"/>
      <w:divBdr>
        <w:top w:val="none" w:sz="0" w:space="0" w:color="auto"/>
        <w:left w:val="none" w:sz="0" w:space="0" w:color="auto"/>
        <w:bottom w:val="none" w:sz="0" w:space="0" w:color="auto"/>
        <w:right w:val="none" w:sz="0" w:space="0" w:color="auto"/>
      </w:divBdr>
      <w:divsChild>
        <w:div w:id="1273588918">
          <w:marLeft w:val="0"/>
          <w:marRight w:val="0"/>
          <w:marTop w:val="0"/>
          <w:marBottom w:val="0"/>
          <w:divBdr>
            <w:top w:val="none" w:sz="0" w:space="0" w:color="auto"/>
            <w:left w:val="none" w:sz="0" w:space="0" w:color="auto"/>
            <w:bottom w:val="none" w:sz="0" w:space="0" w:color="auto"/>
            <w:right w:val="none" w:sz="0" w:space="0" w:color="auto"/>
          </w:divBdr>
          <w:divsChild>
            <w:div w:id="2063861882">
              <w:marLeft w:val="0"/>
              <w:marRight w:val="0"/>
              <w:marTop w:val="0"/>
              <w:marBottom w:val="0"/>
              <w:divBdr>
                <w:top w:val="none" w:sz="0" w:space="0" w:color="auto"/>
                <w:left w:val="none" w:sz="0" w:space="0" w:color="auto"/>
                <w:bottom w:val="none" w:sz="0" w:space="0" w:color="auto"/>
                <w:right w:val="none" w:sz="0" w:space="0" w:color="auto"/>
              </w:divBdr>
              <w:divsChild>
                <w:div w:id="1546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5982">
      <w:bodyDiv w:val="1"/>
      <w:marLeft w:val="0"/>
      <w:marRight w:val="0"/>
      <w:marTop w:val="0"/>
      <w:marBottom w:val="0"/>
      <w:divBdr>
        <w:top w:val="none" w:sz="0" w:space="0" w:color="auto"/>
        <w:left w:val="none" w:sz="0" w:space="0" w:color="auto"/>
        <w:bottom w:val="none" w:sz="0" w:space="0" w:color="auto"/>
        <w:right w:val="none" w:sz="0" w:space="0" w:color="auto"/>
      </w:divBdr>
      <w:divsChild>
        <w:div w:id="774594901">
          <w:marLeft w:val="0"/>
          <w:marRight w:val="0"/>
          <w:marTop w:val="0"/>
          <w:marBottom w:val="0"/>
          <w:divBdr>
            <w:top w:val="none" w:sz="0" w:space="0" w:color="auto"/>
            <w:left w:val="none" w:sz="0" w:space="0" w:color="auto"/>
            <w:bottom w:val="none" w:sz="0" w:space="0" w:color="auto"/>
            <w:right w:val="none" w:sz="0" w:space="0" w:color="auto"/>
          </w:divBdr>
          <w:divsChild>
            <w:div w:id="1008021849">
              <w:marLeft w:val="0"/>
              <w:marRight w:val="0"/>
              <w:marTop w:val="0"/>
              <w:marBottom w:val="0"/>
              <w:divBdr>
                <w:top w:val="none" w:sz="0" w:space="0" w:color="auto"/>
                <w:left w:val="none" w:sz="0" w:space="0" w:color="auto"/>
                <w:bottom w:val="none" w:sz="0" w:space="0" w:color="auto"/>
                <w:right w:val="none" w:sz="0" w:space="0" w:color="auto"/>
              </w:divBdr>
              <w:divsChild>
                <w:div w:id="4058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0490">
      <w:bodyDiv w:val="1"/>
      <w:marLeft w:val="0"/>
      <w:marRight w:val="0"/>
      <w:marTop w:val="0"/>
      <w:marBottom w:val="0"/>
      <w:divBdr>
        <w:top w:val="none" w:sz="0" w:space="0" w:color="auto"/>
        <w:left w:val="none" w:sz="0" w:space="0" w:color="auto"/>
        <w:bottom w:val="none" w:sz="0" w:space="0" w:color="auto"/>
        <w:right w:val="none" w:sz="0" w:space="0" w:color="auto"/>
      </w:divBdr>
      <w:divsChild>
        <w:div w:id="1908494793">
          <w:marLeft w:val="0"/>
          <w:marRight w:val="0"/>
          <w:marTop w:val="0"/>
          <w:marBottom w:val="0"/>
          <w:divBdr>
            <w:top w:val="none" w:sz="0" w:space="0" w:color="auto"/>
            <w:left w:val="none" w:sz="0" w:space="0" w:color="auto"/>
            <w:bottom w:val="none" w:sz="0" w:space="0" w:color="auto"/>
            <w:right w:val="none" w:sz="0" w:space="0" w:color="auto"/>
          </w:divBdr>
          <w:divsChild>
            <w:div w:id="623199263">
              <w:marLeft w:val="0"/>
              <w:marRight w:val="0"/>
              <w:marTop w:val="0"/>
              <w:marBottom w:val="0"/>
              <w:divBdr>
                <w:top w:val="none" w:sz="0" w:space="0" w:color="auto"/>
                <w:left w:val="none" w:sz="0" w:space="0" w:color="auto"/>
                <w:bottom w:val="none" w:sz="0" w:space="0" w:color="auto"/>
                <w:right w:val="none" w:sz="0" w:space="0" w:color="auto"/>
              </w:divBdr>
              <w:divsChild>
                <w:div w:id="13190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6257">
      <w:bodyDiv w:val="1"/>
      <w:marLeft w:val="0"/>
      <w:marRight w:val="0"/>
      <w:marTop w:val="0"/>
      <w:marBottom w:val="0"/>
      <w:divBdr>
        <w:top w:val="none" w:sz="0" w:space="0" w:color="auto"/>
        <w:left w:val="none" w:sz="0" w:space="0" w:color="auto"/>
        <w:bottom w:val="none" w:sz="0" w:space="0" w:color="auto"/>
        <w:right w:val="none" w:sz="0" w:space="0" w:color="auto"/>
      </w:divBdr>
      <w:divsChild>
        <w:div w:id="1489591540">
          <w:marLeft w:val="0"/>
          <w:marRight w:val="0"/>
          <w:marTop w:val="0"/>
          <w:marBottom w:val="0"/>
          <w:divBdr>
            <w:top w:val="none" w:sz="0" w:space="0" w:color="auto"/>
            <w:left w:val="none" w:sz="0" w:space="0" w:color="auto"/>
            <w:bottom w:val="none" w:sz="0" w:space="0" w:color="auto"/>
            <w:right w:val="none" w:sz="0" w:space="0" w:color="auto"/>
          </w:divBdr>
          <w:divsChild>
            <w:div w:id="1204368046">
              <w:marLeft w:val="0"/>
              <w:marRight w:val="0"/>
              <w:marTop w:val="0"/>
              <w:marBottom w:val="0"/>
              <w:divBdr>
                <w:top w:val="none" w:sz="0" w:space="0" w:color="auto"/>
                <w:left w:val="none" w:sz="0" w:space="0" w:color="auto"/>
                <w:bottom w:val="none" w:sz="0" w:space="0" w:color="auto"/>
                <w:right w:val="none" w:sz="0" w:space="0" w:color="auto"/>
              </w:divBdr>
              <w:divsChild>
                <w:div w:id="28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1493">
      <w:bodyDiv w:val="1"/>
      <w:marLeft w:val="0"/>
      <w:marRight w:val="0"/>
      <w:marTop w:val="0"/>
      <w:marBottom w:val="0"/>
      <w:divBdr>
        <w:top w:val="none" w:sz="0" w:space="0" w:color="auto"/>
        <w:left w:val="none" w:sz="0" w:space="0" w:color="auto"/>
        <w:bottom w:val="none" w:sz="0" w:space="0" w:color="auto"/>
        <w:right w:val="none" w:sz="0" w:space="0" w:color="auto"/>
      </w:divBdr>
      <w:divsChild>
        <w:div w:id="946280557">
          <w:marLeft w:val="0"/>
          <w:marRight w:val="0"/>
          <w:marTop w:val="0"/>
          <w:marBottom w:val="0"/>
          <w:divBdr>
            <w:top w:val="none" w:sz="0" w:space="0" w:color="auto"/>
            <w:left w:val="none" w:sz="0" w:space="0" w:color="auto"/>
            <w:bottom w:val="none" w:sz="0" w:space="0" w:color="auto"/>
            <w:right w:val="none" w:sz="0" w:space="0" w:color="auto"/>
          </w:divBdr>
          <w:divsChild>
            <w:div w:id="1754009239">
              <w:marLeft w:val="0"/>
              <w:marRight w:val="0"/>
              <w:marTop w:val="0"/>
              <w:marBottom w:val="0"/>
              <w:divBdr>
                <w:top w:val="none" w:sz="0" w:space="0" w:color="auto"/>
                <w:left w:val="none" w:sz="0" w:space="0" w:color="auto"/>
                <w:bottom w:val="none" w:sz="0" w:space="0" w:color="auto"/>
                <w:right w:val="none" w:sz="0" w:space="0" w:color="auto"/>
              </w:divBdr>
              <w:divsChild>
                <w:div w:id="2936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5941">
      <w:bodyDiv w:val="1"/>
      <w:marLeft w:val="0"/>
      <w:marRight w:val="0"/>
      <w:marTop w:val="0"/>
      <w:marBottom w:val="0"/>
      <w:divBdr>
        <w:top w:val="none" w:sz="0" w:space="0" w:color="auto"/>
        <w:left w:val="none" w:sz="0" w:space="0" w:color="auto"/>
        <w:bottom w:val="none" w:sz="0" w:space="0" w:color="auto"/>
        <w:right w:val="none" w:sz="0" w:space="0" w:color="auto"/>
      </w:divBdr>
      <w:divsChild>
        <w:div w:id="468398678">
          <w:marLeft w:val="0"/>
          <w:marRight w:val="0"/>
          <w:marTop w:val="0"/>
          <w:marBottom w:val="0"/>
          <w:divBdr>
            <w:top w:val="none" w:sz="0" w:space="0" w:color="auto"/>
            <w:left w:val="none" w:sz="0" w:space="0" w:color="auto"/>
            <w:bottom w:val="none" w:sz="0" w:space="0" w:color="auto"/>
            <w:right w:val="none" w:sz="0" w:space="0" w:color="auto"/>
          </w:divBdr>
          <w:divsChild>
            <w:div w:id="953712456">
              <w:marLeft w:val="0"/>
              <w:marRight w:val="0"/>
              <w:marTop w:val="0"/>
              <w:marBottom w:val="0"/>
              <w:divBdr>
                <w:top w:val="none" w:sz="0" w:space="0" w:color="auto"/>
                <w:left w:val="none" w:sz="0" w:space="0" w:color="auto"/>
                <w:bottom w:val="none" w:sz="0" w:space="0" w:color="auto"/>
                <w:right w:val="none" w:sz="0" w:space="0" w:color="auto"/>
              </w:divBdr>
              <w:divsChild>
                <w:div w:id="15777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5520">
      <w:bodyDiv w:val="1"/>
      <w:marLeft w:val="0"/>
      <w:marRight w:val="0"/>
      <w:marTop w:val="0"/>
      <w:marBottom w:val="0"/>
      <w:divBdr>
        <w:top w:val="none" w:sz="0" w:space="0" w:color="auto"/>
        <w:left w:val="none" w:sz="0" w:space="0" w:color="auto"/>
        <w:bottom w:val="none" w:sz="0" w:space="0" w:color="auto"/>
        <w:right w:val="none" w:sz="0" w:space="0" w:color="auto"/>
      </w:divBdr>
    </w:div>
    <w:div w:id="586622933">
      <w:bodyDiv w:val="1"/>
      <w:marLeft w:val="0"/>
      <w:marRight w:val="0"/>
      <w:marTop w:val="0"/>
      <w:marBottom w:val="0"/>
      <w:divBdr>
        <w:top w:val="none" w:sz="0" w:space="0" w:color="auto"/>
        <w:left w:val="none" w:sz="0" w:space="0" w:color="auto"/>
        <w:bottom w:val="none" w:sz="0" w:space="0" w:color="auto"/>
        <w:right w:val="none" w:sz="0" w:space="0" w:color="auto"/>
      </w:divBdr>
    </w:div>
    <w:div w:id="600647902">
      <w:bodyDiv w:val="1"/>
      <w:marLeft w:val="0"/>
      <w:marRight w:val="0"/>
      <w:marTop w:val="0"/>
      <w:marBottom w:val="0"/>
      <w:divBdr>
        <w:top w:val="none" w:sz="0" w:space="0" w:color="auto"/>
        <w:left w:val="none" w:sz="0" w:space="0" w:color="auto"/>
        <w:bottom w:val="none" w:sz="0" w:space="0" w:color="auto"/>
        <w:right w:val="none" w:sz="0" w:space="0" w:color="auto"/>
      </w:divBdr>
      <w:divsChild>
        <w:div w:id="2065524207">
          <w:marLeft w:val="0"/>
          <w:marRight w:val="0"/>
          <w:marTop w:val="0"/>
          <w:marBottom w:val="0"/>
          <w:divBdr>
            <w:top w:val="none" w:sz="0" w:space="0" w:color="auto"/>
            <w:left w:val="none" w:sz="0" w:space="0" w:color="auto"/>
            <w:bottom w:val="none" w:sz="0" w:space="0" w:color="auto"/>
            <w:right w:val="none" w:sz="0" w:space="0" w:color="auto"/>
          </w:divBdr>
          <w:divsChild>
            <w:div w:id="1499803835">
              <w:marLeft w:val="0"/>
              <w:marRight w:val="0"/>
              <w:marTop w:val="0"/>
              <w:marBottom w:val="0"/>
              <w:divBdr>
                <w:top w:val="none" w:sz="0" w:space="0" w:color="auto"/>
                <w:left w:val="none" w:sz="0" w:space="0" w:color="auto"/>
                <w:bottom w:val="none" w:sz="0" w:space="0" w:color="auto"/>
                <w:right w:val="none" w:sz="0" w:space="0" w:color="auto"/>
              </w:divBdr>
              <w:divsChild>
                <w:div w:id="2023820148">
                  <w:marLeft w:val="0"/>
                  <w:marRight w:val="0"/>
                  <w:marTop w:val="0"/>
                  <w:marBottom w:val="0"/>
                  <w:divBdr>
                    <w:top w:val="none" w:sz="0" w:space="0" w:color="auto"/>
                    <w:left w:val="none" w:sz="0" w:space="0" w:color="auto"/>
                    <w:bottom w:val="none" w:sz="0" w:space="0" w:color="auto"/>
                    <w:right w:val="none" w:sz="0" w:space="0" w:color="auto"/>
                  </w:divBdr>
                  <w:divsChild>
                    <w:div w:id="1133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13406">
      <w:bodyDiv w:val="1"/>
      <w:marLeft w:val="0"/>
      <w:marRight w:val="0"/>
      <w:marTop w:val="0"/>
      <w:marBottom w:val="0"/>
      <w:divBdr>
        <w:top w:val="none" w:sz="0" w:space="0" w:color="auto"/>
        <w:left w:val="none" w:sz="0" w:space="0" w:color="auto"/>
        <w:bottom w:val="none" w:sz="0" w:space="0" w:color="auto"/>
        <w:right w:val="none" w:sz="0" w:space="0" w:color="auto"/>
      </w:divBdr>
      <w:divsChild>
        <w:div w:id="1393196278">
          <w:marLeft w:val="0"/>
          <w:marRight w:val="0"/>
          <w:marTop w:val="0"/>
          <w:marBottom w:val="0"/>
          <w:divBdr>
            <w:top w:val="none" w:sz="0" w:space="0" w:color="auto"/>
            <w:left w:val="none" w:sz="0" w:space="0" w:color="auto"/>
            <w:bottom w:val="none" w:sz="0" w:space="0" w:color="auto"/>
            <w:right w:val="none" w:sz="0" w:space="0" w:color="auto"/>
          </w:divBdr>
          <w:divsChild>
            <w:div w:id="1107391261">
              <w:marLeft w:val="0"/>
              <w:marRight w:val="0"/>
              <w:marTop w:val="0"/>
              <w:marBottom w:val="0"/>
              <w:divBdr>
                <w:top w:val="none" w:sz="0" w:space="0" w:color="auto"/>
                <w:left w:val="none" w:sz="0" w:space="0" w:color="auto"/>
                <w:bottom w:val="none" w:sz="0" w:space="0" w:color="auto"/>
                <w:right w:val="none" w:sz="0" w:space="0" w:color="auto"/>
              </w:divBdr>
              <w:divsChild>
                <w:div w:id="16602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2887">
      <w:bodyDiv w:val="1"/>
      <w:marLeft w:val="0"/>
      <w:marRight w:val="0"/>
      <w:marTop w:val="0"/>
      <w:marBottom w:val="0"/>
      <w:divBdr>
        <w:top w:val="none" w:sz="0" w:space="0" w:color="auto"/>
        <w:left w:val="none" w:sz="0" w:space="0" w:color="auto"/>
        <w:bottom w:val="none" w:sz="0" w:space="0" w:color="auto"/>
        <w:right w:val="none" w:sz="0" w:space="0" w:color="auto"/>
      </w:divBdr>
      <w:divsChild>
        <w:div w:id="667367319">
          <w:marLeft w:val="0"/>
          <w:marRight w:val="0"/>
          <w:marTop w:val="0"/>
          <w:marBottom w:val="0"/>
          <w:divBdr>
            <w:top w:val="none" w:sz="0" w:space="0" w:color="auto"/>
            <w:left w:val="none" w:sz="0" w:space="0" w:color="auto"/>
            <w:bottom w:val="none" w:sz="0" w:space="0" w:color="auto"/>
            <w:right w:val="none" w:sz="0" w:space="0" w:color="auto"/>
          </w:divBdr>
          <w:divsChild>
            <w:div w:id="296616264">
              <w:marLeft w:val="0"/>
              <w:marRight w:val="0"/>
              <w:marTop w:val="0"/>
              <w:marBottom w:val="0"/>
              <w:divBdr>
                <w:top w:val="none" w:sz="0" w:space="0" w:color="auto"/>
                <w:left w:val="none" w:sz="0" w:space="0" w:color="auto"/>
                <w:bottom w:val="none" w:sz="0" w:space="0" w:color="auto"/>
                <w:right w:val="none" w:sz="0" w:space="0" w:color="auto"/>
              </w:divBdr>
              <w:divsChild>
                <w:div w:id="6137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3053">
      <w:bodyDiv w:val="1"/>
      <w:marLeft w:val="0"/>
      <w:marRight w:val="0"/>
      <w:marTop w:val="0"/>
      <w:marBottom w:val="0"/>
      <w:divBdr>
        <w:top w:val="none" w:sz="0" w:space="0" w:color="auto"/>
        <w:left w:val="none" w:sz="0" w:space="0" w:color="auto"/>
        <w:bottom w:val="none" w:sz="0" w:space="0" w:color="auto"/>
        <w:right w:val="none" w:sz="0" w:space="0" w:color="auto"/>
      </w:divBdr>
      <w:divsChild>
        <w:div w:id="298539038">
          <w:marLeft w:val="0"/>
          <w:marRight w:val="0"/>
          <w:marTop w:val="0"/>
          <w:marBottom w:val="0"/>
          <w:divBdr>
            <w:top w:val="none" w:sz="0" w:space="0" w:color="auto"/>
            <w:left w:val="none" w:sz="0" w:space="0" w:color="auto"/>
            <w:bottom w:val="none" w:sz="0" w:space="0" w:color="auto"/>
            <w:right w:val="none" w:sz="0" w:space="0" w:color="auto"/>
          </w:divBdr>
          <w:divsChild>
            <w:div w:id="1338190544">
              <w:marLeft w:val="0"/>
              <w:marRight w:val="0"/>
              <w:marTop w:val="0"/>
              <w:marBottom w:val="0"/>
              <w:divBdr>
                <w:top w:val="none" w:sz="0" w:space="0" w:color="auto"/>
                <w:left w:val="none" w:sz="0" w:space="0" w:color="auto"/>
                <w:bottom w:val="none" w:sz="0" w:space="0" w:color="auto"/>
                <w:right w:val="none" w:sz="0" w:space="0" w:color="auto"/>
              </w:divBdr>
              <w:divsChild>
                <w:div w:id="12458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80330">
      <w:bodyDiv w:val="1"/>
      <w:marLeft w:val="0"/>
      <w:marRight w:val="0"/>
      <w:marTop w:val="0"/>
      <w:marBottom w:val="0"/>
      <w:divBdr>
        <w:top w:val="none" w:sz="0" w:space="0" w:color="auto"/>
        <w:left w:val="none" w:sz="0" w:space="0" w:color="auto"/>
        <w:bottom w:val="none" w:sz="0" w:space="0" w:color="auto"/>
        <w:right w:val="none" w:sz="0" w:space="0" w:color="auto"/>
      </w:divBdr>
      <w:divsChild>
        <w:div w:id="1746222138">
          <w:marLeft w:val="0"/>
          <w:marRight w:val="0"/>
          <w:marTop w:val="0"/>
          <w:marBottom w:val="0"/>
          <w:divBdr>
            <w:top w:val="none" w:sz="0" w:space="0" w:color="auto"/>
            <w:left w:val="none" w:sz="0" w:space="0" w:color="auto"/>
            <w:bottom w:val="none" w:sz="0" w:space="0" w:color="auto"/>
            <w:right w:val="none" w:sz="0" w:space="0" w:color="auto"/>
          </w:divBdr>
          <w:divsChild>
            <w:div w:id="951744686">
              <w:marLeft w:val="0"/>
              <w:marRight w:val="0"/>
              <w:marTop w:val="0"/>
              <w:marBottom w:val="0"/>
              <w:divBdr>
                <w:top w:val="none" w:sz="0" w:space="0" w:color="auto"/>
                <w:left w:val="none" w:sz="0" w:space="0" w:color="auto"/>
                <w:bottom w:val="none" w:sz="0" w:space="0" w:color="auto"/>
                <w:right w:val="none" w:sz="0" w:space="0" w:color="auto"/>
              </w:divBdr>
              <w:divsChild>
                <w:div w:id="14487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1860">
      <w:bodyDiv w:val="1"/>
      <w:marLeft w:val="0"/>
      <w:marRight w:val="0"/>
      <w:marTop w:val="0"/>
      <w:marBottom w:val="0"/>
      <w:divBdr>
        <w:top w:val="none" w:sz="0" w:space="0" w:color="auto"/>
        <w:left w:val="none" w:sz="0" w:space="0" w:color="auto"/>
        <w:bottom w:val="none" w:sz="0" w:space="0" w:color="auto"/>
        <w:right w:val="none" w:sz="0" w:space="0" w:color="auto"/>
      </w:divBdr>
      <w:divsChild>
        <w:div w:id="1484004178">
          <w:marLeft w:val="0"/>
          <w:marRight w:val="0"/>
          <w:marTop w:val="0"/>
          <w:marBottom w:val="0"/>
          <w:divBdr>
            <w:top w:val="none" w:sz="0" w:space="0" w:color="auto"/>
            <w:left w:val="none" w:sz="0" w:space="0" w:color="auto"/>
            <w:bottom w:val="none" w:sz="0" w:space="0" w:color="auto"/>
            <w:right w:val="none" w:sz="0" w:space="0" w:color="auto"/>
          </w:divBdr>
          <w:divsChild>
            <w:div w:id="1457527612">
              <w:marLeft w:val="0"/>
              <w:marRight w:val="0"/>
              <w:marTop w:val="0"/>
              <w:marBottom w:val="0"/>
              <w:divBdr>
                <w:top w:val="none" w:sz="0" w:space="0" w:color="auto"/>
                <w:left w:val="none" w:sz="0" w:space="0" w:color="auto"/>
                <w:bottom w:val="none" w:sz="0" w:space="0" w:color="auto"/>
                <w:right w:val="none" w:sz="0" w:space="0" w:color="auto"/>
              </w:divBdr>
              <w:divsChild>
                <w:div w:id="12470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2619">
      <w:bodyDiv w:val="1"/>
      <w:marLeft w:val="0"/>
      <w:marRight w:val="0"/>
      <w:marTop w:val="0"/>
      <w:marBottom w:val="0"/>
      <w:divBdr>
        <w:top w:val="none" w:sz="0" w:space="0" w:color="auto"/>
        <w:left w:val="none" w:sz="0" w:space="0" w:color="auto"/>
        <w:bottom w:val="none" w:sz="0" w:space="0" w:color="auto"/>
        <w:right w:val="none" w:sz="0" w:space="0" w:color="auto"/>
      </w:divBdr>
      <w:divsChild>
        <w:div w:id="1866944005">
          <w:marLeft w:val="0"/>
          <w:marRight w:val="0"/>
          <w:marTop w:val="0"/>
          <w:marBottom w:val="0"/>
          <w:divBdr>
            <w:top w:val="none" w:sz="0" w:space="0" w:color="auto"/>
            <w:left w:val="none" w:sz="0" w:space="0" w:color="auto"/>
            <w:bottom w:val="none" w:sz="0" w:space="0" w:color="auto"/>
            <w:right w:val="none" w:sz="0" w:space="0" w:color="auto"/>
          </w:divBdr>
          <w:divsChild>
            <w:div w:id="1345669431">
              <w:marLeft w:val="0"/>
              <w:marRight w:val="0"/>
              <w:marTop w:val="0"/>
              <w:marBottom w:val="0"/>
              <w:divBdr>
                <w:top w:val="none" w:sz="0" w:space="0" w:color="auto"/>
                <w:left w:val="none" w:sz="0" w:space="0" w:color="auto"/>
                <w:bottom w:val="none" w:sz="0" w:space="0" w:color="auto"/>
                <w:right w:val="none" w:sz="0" w:space="0" w:color="auto"/>
              </w:divBdr>
              <w:divsChild>
                <w:div w:id="7555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3017">
      <w:bodyDiv w:val="1"/>
      <w:marLeft w:val="0"/>
      <w:marRight w:val="0"/>
      <w:marTop w:val="0"/>
      <w:marBottom w:val="0"/>
      <w:divBdr>
        <w:top w:val="none" w:sz="0" w:space="0" w:color="auto"/>
        <w:left w:val="none" w:sz="0" w:space="0" w:color="auto"/>
        <w:bottom w:val="none" w:sz="0" w:space="0" w:color="auto"/>
        <w:right w:val="none" w:sz="0" w:space="0" w:color="auto"/>
      </w:divBdr>
      <w:divsChild>
        <w:div w:id="1770539408">
          <w:marLeft w:val="0"/>
          <w:marRight w:val="0"/>
          <w:marTop w:val="0"/>
          <w:marBottom w:val="0"/>
          <w:divBdr>
            <w:top w:val="none" w:sz="0" w:space="0" w:color="auto"/>
            <w:left w:val="none" w:sz="0" w:space="0" w:color="auto"/>
            <w:bottom w:val="none" w:sz="0" w:space="0" w:color="auto"/>
            <w:right w:val="none" w:sz="0" w:space="0" w:color="auto"/>
          </w:divBdr>
          <w:divsChild>
            <w:div w:id="557253014">
              <w:marLeft w:val="0"/>
              <w:marRight w:val="0"/>
              <w:marTop w:val="0"/>
              <w:marBottom w:val="0"/>
              <w:divBdr>
                <w:top w:val="none" w:sz="0" w:space="0" w:color="auto"/>
                <w:left w:val="none" w:sz="0" w:space="0" w:color="auto"/>
                <w:bottom w:val="none" w:sz="0" w:space="0" w:color="auto"/>
                <w:right w:val="none" w:sz="0" w:space="0" w:color="auto"/>
              </w:divBdr>
              <w:divsChild>
                <w:div w:id="12756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3481">
      <w:bodyDiv w:val="1"/>
      <w:marLeft w:val="0"/>
      <w:marRight w:val="0"/>
      <w:marTop w:val="0"/>
      <w:marBottom w:val="0"/>
      <w:divBdr>
        <w:top w:val="none" w:sz="0" w:space="0" w:color="auto"/>
        <w:left w:val="none" w:sz="0" w:space="0" w:color="auto"/>
        <w:bottom w:val="none" w:sz="0" w:space="0" w:color="auto"/>
        <w:right w:val="none" w:sz="0" w:space="0" w:color="auto"/>
      </w:divBdr>
      <w:divsChild>
        <w:div w:id="1990936859">
          <w:marLeft w:val="0"/>
          <w:marRight w:val="0"/>
          <w:marTop w:val="0"/>
          <w:marBottom w:val="0"/>
          <w:divBdr>
            <w:top w:val="none" w:sz="0" w:space="0" w:color="auto"/>
            <w:left w:val="none" w:sz="0" w:space="0" w:color="auto"/>
            <w:bottom w:val="none" w:sz="0" w:space="0" w:color="auto"/>
            <w:right w:val="none" w:sz="0" w:space="0" w:color="auto"/>
          </w:divBdr>
          <w:divsChild>
            <w:div w:id="157160612">
              <w:marLeft w:val="0"/>
              <w:marRight w:val="0"/>
              <w:marTop w:val="0"/>
              <w:marBottom w:val="0"/>
              <w:divBdr>
                <w:top w:val="none" w:sz="0" w:space="0" w:color="auto"/>
                <w:left w:val="none" w:sz="0" w:space="0" w:color="auto"/>
                <w:bottom w:val="none" w:sz="0" w:space="0" w:color="auto"/>
                <w:right w:val="none" w:sz="0" w:space="0" w:color="auto"/>
              </w:divBdr>
              <w:divsChild>
                <w:div w:id="5271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2247">
      <w:bodyDiv w:val="1"/>
      <w:marLeft w:val="0"/>
      <w:marRight w:val="0"/>
      <w:marTop w:val="0"/>
      <w:marBottom w:val="0"/>
      <w:divBdr>
        <w:top w:val="none" w:sz="0" w:space="0" w:color="auto"/>
        <w:left w:val="none" w:sz="0" w:space="0" w:color="auto"/>
        <w:bottom w:val="none" w:sz="0" w:space="0" w:color="auto"/>
        <w:right w:val="none" w:sz="0" w:space="0" w:color="auto"/>
      </w:divBdr>
      <w:divsChild>
        <w:div w:id="206184848">
          <w:marLeft w:val="0"/>
          <w:marRight w:val="0"/>
          <w:marTop w:val="0"/>
          <w:marBottom w:val="0"/>
          <w:divBdr>
            <w:top w:val="none" w:sz="0" w:space="0" w:color="auto"/>
            <w:left w:val="none" w:sz="0" w:space="0" w:color="auto"/>
            <w:bottom w:val="none" w:sz="0" w:space="0" w:color="auto"/>
            <w:right w:val="none" w:sz="0" w:space="0" w:color="auto"/>
          </w:divBdr>
          <w:divsChild>
            <w:div w:id="596837180">
              <w:marLeft w:val="0"/>
              <w:marRight w:val="0"/>
              <w:marTop w:val="0"/>
              <w:marBottom w:val="0"/>
              <w:divBdr>
                <w:top w:val="none" w:sz="0" w:space="0" w:color="auto"/>
                <w:left w:val="none" w:sz="0" w:space="0" w:color="auto"/>
                <w:bottom w:val="none" w:sz="0" w:space="0" w:color="auto"/>
                <w:right w:val="none" w:sz="0" w:space="0" w:color="auto"/>
              </w:divBdr>
              <w:divsChild>
                <w:div w:id="675545482">
                  <w:marLeft w:val="0"/>
                  <w:marRight w:val="0"/>
                  <w:marTop w:val="0"/>
                  <w:marBottom w:val="0"/>
                  <w:divBdr>
                    <w:top w:val="none" w:sz="0" w:space="0" w:color="auto"/>
                    <w:left w:val="none" w:sz="0" w:space="0" w:color="auto"/>
                    <w:bottom w:val="none" w:sz="0" w:space="0" w:color="auto"/>
                    <w:right w:val="none" w:sz="0" w:space="0" w:color="auto"/>
                  </w:divBdr>
                  <w:divsChild>
                    <w:div w:id="13316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35111">
      <w:bodyDiv w:val="1"/>
      <w:marLeft w:val="0"/>
      <w:marRight w:val="0"/>
      <w:marTop w:val="0"/>
      <w:marBottom w:val="0"/>
      <w:divBdr>
        <w:top w:val="none" w:sz="0" w:space="0" w:color="auto"/>
        <w:left w:val="none" w:sz="0" w:space="0" w:color="auto"/>
        <w:bottom w:val="none" w:sz="0" w:space="0" w:color="auto"/>
        <w:right w:val="none" w:sz="0" w:space="0" w:color="auto"/>
      </w:divBdr>
      <w:divsChild>
        <w:div w:id="1928659389">
          <w:marLeft w:val="0"/>
          <w:marRight w:val="0"/>
          <w:marTop w:val="0"/>
          <w:marBottom w:val="0"/>
          <w:divBdr>
            <w:top w:val="none" w:sz="0" w:space="0" w:color="auto"/>
            <w:left w:val="none" w:sz="0" w:space="0" w:color="auto"/>
            <w:bottom w:val="none" w:sz="0" w:space="0" w:color="auto"/>
            <w:right w:val="none" w:sz="0" w:space="0" w:color="auto"/>
          </w:divBdr>
          <w:divsChild>
            <w:div w:id="1409182654">
              <w:marLeft w:val="0"/>
              <w:marRight w:val="0"/>
              <w:marTop w:val="0"/>
              <w:marBottom w:val="0"/>
              <w:divBdr>
                <w:top w:val="none" w:sz="0" w:space="0" w:color="auto"/>
                <w:left w:val="none" w:sz="0" w:space="0" w:color="auto"/>
                <w:bottom w:val="none" w:sz="0" w:space="0" w:color="auto"/>
                <w:right w:val="none" w:sz="0" w:space="0" w:color="auto"/>
              </w:divBdr>
              <w:divsChild>
                <w:div w:id="1467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9554">
      <w:bodyDiv w:val="1"/>
      <w:marLeft w:val="0"/>
      <w:marRight w:val="0"/>
      <w:marTop w:val="0"/>
      <w:marBottom w:val="0"/>
      <w:divBdr>
        <w:top w:val="none" w:sz="0" w:space="0" w:color="auto"/>
        <w:left w:val="none" w:sz="0" w:space="0" w:color="auto"/>
        <w:bottom w:val="none" w:sz="0" w:space="0" w:color="auto"/>
        <w:right w:val="none" w:sz="0" w:space="0" w:color="auto"/>
      </w:divBdr>
      <w:divsChild>
        <w:div w:id="33162875">
          <w:marLeft w:val="0"/>
          <w:marRight w:val="0"/>
          <w:marTop w:val="0"/>
          <w:marBottom w:val="0"/>
          <w:divBdr>
            <w:top w:val="none" w:sz="0" w:space="0" w:color="auto"/>
            <w:left w:val="none" w:sz="0" w:space="0" w:color="auto"/>
            <w:bottom w:val="none" w:sz="0" w:space="0" w:color="auto"/>
            <w:right w:val="none" w:sz="0" w:space="0" w:color="auto"/>
          </w:divBdr>
          <w:divsChild>
            <w:div w:id="1030911658">
              <w:marLeft w:val="0"/>
              <w:marRight w:val="0"/>
              <w:marTop w:val="0"/>
              <w:marBottom w:val="0"/>
              <w:divBdr>
                <w:top w:val="none" w:sz="0" w:space="0" w:color="auto"/>
                <w:left w:val="none" w:sz="0" w:space="0" w:color="auto"/>
                <w:bottom w:val="none" w:sz="0" w:space="0" w:color="auto"/>
                <w:right w:val="none" w:sz="0" w:space="0" w:color="auto"/>
              </w:divBdr>
              <w:divsChild>
                <w:div w:id="15373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3672">
      <w:bodyDiv w:val="1"/>
      <w:marLeft w:val="0"/>
      <w:marRight w:val="0"/>
      <w:marTop w:val="0"/>
      <w:marBottom w:val="0"/>
      <w:divBdr>
        <w:top w:val="none" w:sz="0" w:space="0" w:color="auto"/>
        <w:left w:val="none" w:sz="0" w:space="0" w:color="auto"/>
        <w:bottom w:val="none" w:sz="0" w:space="0" w:color="auto"/>
        <w:right w:val="none" w:sz="0" w:space="0" w:color="auto"/>
      </w:divBdr>
      <w:divsChild>
        <w:div w:id="1437991010">
          <w:marLeft w:val="0"/>
          <w:marRight w:val="0"/>
          <w:marTop w:val="0"/>
          <w:marBottom w:val="0"/>
          <w:divBdr>
            <w:top w:val="none" w:sz="0" w:space="0" w:color="auto"/>
            <w:left w:val="none" w:sz="0" w:space="0" w:color="auto"/>
            <w:bottom w:val="none" w:sz="0" w:space="0" w:color="auto"/>
            <w:right w:val="none" w:sz="0" w:space="0" w:color="auto"/>
          </w:divBdr>
          <w:divsChild>
            <w:div w:id="1482044151">
              <w:marLeft w:val="0"/>
              <w:marRight w:val="0"/>
              <w:marTop w:val="0"/>
              <w:marBottom w:val="0"/>
              <w:divBdr>
                <w:top w:val="none" w:sz="0" w:space="0" w:color="auto"/>
                <w:left w:val="none" w:sz="0" w:space="0" w:color="auto"/>
                <w:bottom w:val="none" w:sz="0" w:space="0" w:color="auto"/>
                <w:right w:val="none" w:sz="0" w:space="0" w:color="auto"/>
              </w:divBdr>
              <w:divsChild>
                <w:div w:id="12511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1885">
      <w:bodyDiv w:val="1"/>
      <w:marLeft w:val="0"/>
      <w:marRight w:val="0"/>
      <w:marTop w:val="0"/>
      <w:marBottom w:val="0"/>
      <w:divBdr>
        <w:top w:val="none" w:sz="0" w:space="0" w:color="auto"/>
        <w:left w:val="none" w:sz="0" w:space="0" w:color="auto"/>
        <w:bottom w:val="none" w:sz="0" w:space="0" w:color="auto"/>
        <w:right w:val="none" w:sz="0" w:space="0" w:color="auto"/>
      </w:divBdr>
      <w:divsChild>
        <w:div w:id="679045602">
          <w:marLeft w:val="0"/>
          <w:marRight w:val="0"/>
          <w:marTop w:val="0"/>
          <w:marBottom w:val="0"/>
          <w:divBdr>
            <w:top w:val="none" w:sz="0" w:space="0" w:color="auto"/>
            <w:left w:val="none" w:sz="0" w:space="0" w:color="auto"/>
            <w:bottom w:val="none" w:sz="0" w:space="0" w:color="auto"/>
            <w:right w:val="none" w:sz="0" w:space="0" w:color="auto"/>
          </w:divBdr>
          <w:divsChild>
            <w:div w:id="1047534221">
              <w:marLeft w:val="0"/>
              <w:marRight w:val="0"/>
              <w:marTop w:val="0"/>
              <w:marBottom w:val="0"/>
              <w:divBdr>
                <w:top w:val="none" w:sz="0" w:space="0" w:color="auto"/>
                <w:left w:val="none" w:sz="0" w:space="0" w:color="auto"/>
                <w:bottom w:val="none" w:sz="0" w:space="0" w:color="auto"/>
                <w:right w:val="none" w:sz="0" w:space="0" w:color="auto"/>
              </w:divBdr>
              <w:divsChild>
                <w:div w:id="16489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66493">
      <w:bodyDiv w:val="1"/>
      <w:marLeft w:val="0"/>
      <w:marRight w:val="0"/>
      <w:marTop w:val="0"/>
      <w:marBottom w:val="0"/>
      <w:divBdr>
        <w:top w:val="none" w:sz="0" w:space="0" w:color="auto"/>
        <w:left w:val="none" w:sz="0" w:space="0" w:color="auto"/>
        <w:bottom w:val="none" w:sz="0" w:space="0" w:color="auto"/>
        <w:right w:val="none" w:sz="0" w:space="0" w:color="auto"/>
      </w:divBdr>
      <w:divsChild>
        <w:div w:id="924414782">
          <w:marLeft w:val="0"/>
          <w:marRight w:val="0"/>
          <w:marTop w:val="0"/>
          <w:marBottom w:val="0"/>
          <w:divBdr>
            <w:top w:val="none" w:sz="0" w:space="0" w:color="auto"/>
            <w:left w:val="none" w:sz="0" w:space="0" w:color="auto"/>
            <w:bottom w:val="none" w:sz="0" w:space="0" w:color="auto"/>
            <w:right w:val="none" w:sz="0" w:space="0" w:color="auto"/>
          </w:divBdr>
          <w:divsChild>
            <w:div w:id="520322231">
              <w:marLeft w:val="0"/>
              <w:marRight w:val="0"/>
              <w:marTop w:val="0"/>
              <w:marBottom w:val="0"/>
              <w:divBdr>
                <w:top w:val="none" w:sz="0" w:space="0" w:color="auto"/>
                <w:left w:val="none" w:sz="0" w:space="0" w:color="auto"/>
                <w:bottom w:val="none" w:sz="0" w:space="0" w:color="auto"/>
                <w:right w:val="none" w:sz="0" w:space="0" w:color="auto"/>
              </w:divBdr>
              <w:divsChild>
                <w:div w:id="753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1097">
      <w:bodyDiv w:val="1"/>
      <w:marLeft w:val="0"/>
      <w:marRight w:val="0"/>
      <w:marTop w:val="0"/>
      <w:marBottom w:val="0"/>
      <w:divBdr>
        <w:top w:val="none" w:sz="0" w:space="0" w:color="auto"/>
        <w:left w:val="none" w:sz="0" w:space="0" w:color="auto"/>
        <w:bottom w:val="none" w:sz="0" w:space="0" w:color="auto"/>
        <w:right w:val="none" w:sz="0" w:space="0" w:color="auto"/>
      </w:divBdr>
      <w:divsChild>
        <w:div w:id="825048133">
          <w:marLeft w:val="0"/>
          <w:marRight w:val="0"/>
          <w:marTop w:val="0"/>
          <w:marBottom w:val="0"/>
          <w:divBdr>
            <w:top w:val="none" w:sz="0" w:space="0" w:color="auto"/>
            <w:left w:val="none" w:sz="0" w:space="0" w:color="auto"/>
            <w:bottom w:val="none" w:sz="0" w:space="0" w:color="auto"/>
            <w:right w:val="none" w:sz="0" w:space="0" w:color="auto"/>
          </w:divBdr>
          <w:divsChild>
            <w:div w:id="4290680">
              <w:marLeft w:val="0"/>
              <w:marRight w:val="0"/>
              <w:marTop w:val="0"/>
              <w:marBottom w:val="0"/>
              <w:divBdr>
                <w:top w:val="none" w:sz="0" w:space="0" w:color="auto"/>
                <w:left w:val="none" w:sz="0" w:space="0" w:color="auto"/>
                <w:bottom w:val="none" w:sz="0" w:space="0" w:color="auto"/>
                <w:right w:val="none" w:sz="0" w:space="0" w:color="auto"/>
              </w:divBdr>
              <w:divsChild>
                <w:div w:id="2607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3372">
      <w:bodyDiv w:val="1"/>
      <w:marLeft w:val="0"/>
      <w:marRight w:val="0"/>
      <w:marTop w:val="0"/>
      <w:marBottom w:val="0"/>
      <w:divBdr>
        <w:top w:val="none" w:sz="0" w:space="0" w:color="auto"/>
        <w:left w:val="none" w:sz="0" w:space="0" w:color="auto"/>
        <w:bottom w:val="none" w:sz="0" w:space="0" w:color="auto"/>
        <w:right w:val="none" w:sz="0" w:space="0" w:color="auto"/>
      </w:divBdr>
      <w:divsChild>
        <w:div w:id="1386563343">
          <w:marLeft w:val="0"/>
          <w:marRight w:val="0"/>
          <w:marTop w:val="0"/>
          <w:marBottom w:val="0"/>
          <w:divBdr>
            <w:top w:val="none" w:sz="0" w:space="0" w:color="auto"/>
            <w:left w:val="none" w:sz="0" w:space="0" w:color="auto"/>
            <w:bottom w:val="none" w:sz="0" w:space="0" w:color="auto"/>
            <w:right w:val="none" w:sz="0" w:space="0" w:color="auto"/>
          </w:divBdr>
          <w:divsChild>
            <w:div w:id="1848782923">
              <w:marLeft w:val="0"/>
              <w:marRight w:val="0"/>
              <w:marTop w:val="0"/>
              <w:marBottom w:val="0"/>
              <w:divBdr>
                <w:top w:val="none" w:sz="0" w:space="0" w:color="auto"/>
                <w:left w:val="none" w:sz="0" w:space="0" w:color="auto"/>
                <w:bottom w:val="none" w:sz="0" w:space="0" w:color="auto"/>
                <w:right w:val="none" w:sz="0" w:space="0" w:color="auto"/>
              </w:divBdr>
              <w:divsChild>
                <w:div w:id="13640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98675">
      <w:bodyDiv w:val="1"/>
      <w:marLeft w:val="0"/>
      <w:marRight w:val="0"/>
      <w:marTop w:val="0"/>
      <w:marBottom w:val="0"/>
      <w:divBdr>
        <w:top w:val="none" w:sz="0" w:space="0" w:color="auto"/>
        <w:left w:val="none" w:sz="0" w:space="0" w:color="auto"/>
        <w:bottom w:val="none" w:sz="0" w:space="0" w:color="auto"/>
        <w:right w:val="none" w:sz="0" w:space="0" w:color="auto"/>
      </w:divBdr>
    </w:div>
    <w:div w:id="726879002">
      <w:bodyDiv w:val="1"/>
      <w:marLeft w:val="0"/>
      <w:marRight w:val="0"/>
      <w:marTop w:val="0"/>
      <w:marBottom w:val="0"/>
      <w:divBdr>
        <w:top w:val="none" w:sz="0" w:space="0" w:color="auto"/>
        <w:left w:val="none" w:sz="0" w:space="0" w:color="auto"/>
        <w:bottom w:val="none" w:sz="0" w:space="0" w:color="auto"/>
        <w:right w:val="none" w:sz="0" w:space="0" w:color="auto"/>
      </w:divBdr>
      <w:divsChild>
        <w:div w:id="2093551401">
          <w:marLeft w:val="0"/>
          <w:marRight w:val="0"/>
          <w:marTop w:val="0"/>
          <w:marBottom w:val="0"/>
          <w:divBdr>
            <w:top w:val="none" w:sz="0" w:space="0" w:color="auto"/>
            <w:left w:val="none" w:sz="0" w:space="0" w:color="auto"/>
            <w:bottom w:val="none" w:sz="0" w:space="0" w:color="auto"/>
            <w:right w:val="none" w:sz="0" w:space="0" w:color="auto"/>
          </w:divBdr>
          <w:divsChild>
            <w:div w:id="1869642036">
              <w:marLeft w:val="0"/>
              <w:marRight w:val="0"/>
              <w:marTop w:val="0"/>
              <w:marBottom w:val="0"/>
              <w:divBdr>
                <w:top w:val="none" w:sz="0" w:space="0" w:color="auto"/>
                <w:left w:val="none" w:sz="0" w:space="0" w:color="auto"/>
                <w:bottom w:val="none" w:sz="0" w:space="0" w:color="auto"/>
                <w:right w:val="none" w:sz="0" w:space="0" w:color="auto"/>
              </w:divBdr>
              <w:divsChild>
                <w:div w:id="20403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0865">
      <w:bodyDiv w:val="1"/>
      <w:marLeft w:val="0"/>
      <w:marRight w:val="0"/>
      <w:marTop w:val="0"/>
      <w:marBottom w:val="0"/>
      <w:divBdr>
        <w:top w:val="none" w:sz="0" w:space="0" w:color="auto"/>
        <w:left w:val="none" w:sz="0" w:space="0" w:color="auto"/>
        <w:bottom w:val="none" w:sz="0" w:space="0" w:color="auto"/>
        <w:right w:val="none" w:sz="0" w:space="0" w:color="auto"/>
      </w:divBdr>
    </w:div>
    <w:div w:id="746921521">
      <w:bodyDiv w:val="1"/>
      <w:marLeft w:val="0"/>
      <w:marRight w:val="0"/>
      <w:marTop w:val="0"/>
      <w:marBottom w:val="0"/>
      <w:divBdr>
        <w:top w:val="none" w:sz="0" w:space="0" w:color="auto"/>
        <w:left w:val="none" w:sz="0" w:space="0" w:color="auto"/>
        <w:bottom w:val="none" w:sz="0" w:space="0" w:color="auto"/>
        <w:right w:val="none" w:sz="0" w:space="0" w:color="auto"/>
      </w:divBdr>
      <w:divsChild>
        <w:div w:id="660352495">
          <w:marLeft w:val="0"/>
          <w:marRight w:val="0"/>
          <w:marTop w:val="0"/>
          <w:marBottom w:val="0"/>
          <w:divBdr>
            <w:top w:val="none" w:sz="0" w:space="0" w:color="auto"/>
            <w:left w:val="none" w:sz="0" w:space="0" w:color="auto"/>
            <w:bottom w:val="none" w:sz="0" w:space="0" w:color="auto"/>
            <w:right w:val="none" w:sz="0" w:space="0" w:color="auto"/>
          </w:divBdr>
          <w:divsChild>
            <w:div w:id="412432983">
              <w:marLeft w:val="0"/>
              <w:marRight w:val="0"/>
              <w:marTop w:val="0"/>
              <w:marBottom w:val="0"/>
              <w:divBdr>
                <w:top w:val="none" w:sz="0" w:space="0" w:color="auto"/>
                <w:left w:val="none" w:sz="0" w:space="0" w:color="auto"/>
                <w:bottom w:val="none" w:sz="0" w:space="0" w:color="auto"/>
                <w:right w:val="none" w:sz="0" w:space="0" w:color="auto"/>
              </w:divBdr>
              <w:divsChild>
                <w:div w:id="18292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4656">
      <w:bodyDiv w:val="1"/>
      <w:marLeft w:val="0"/>
      <w:marRight w:val="0"/>
      <w:marTop w:val="0"/>
      <w:marBottom w:val="0"/>
      <w:divBdr>
        <w:top w:val="none" w:sz="0" w:space="0" w:color="auto"/>
        <w:left w:val="none" w:sz="0" w:space="0" w:color="auto"/>
        <w:bottom w:val="none" w:sz="0" w:space="0" w:color="auto"/>
        <w:right w:val="none" w:sz="0" w:space="0" w:color="auto"/>
      </w:divBdr>
      <w:divsChild>
        <w:div w:id="1592659920">
          <w:marLeft w:val="0"/>
          <w:marRight w:val="0"/>
          <w:marTop w:val="0"/>
          <w:marBottom w:val="0"/>
          <w:divBdr>
            <w:top w:val="none" w:sz="0" w:space="0" w:color="auto"/>
            <w:left w:val="none" w:sz="0" w:space="0" w:color="auto"/>
            <w:bottom w:val="none" w:sz="0" w:space="0" w:color="auto"/>
            <w:right w:val="none" w:sz="0" w:space="0" w:color="auto"/>
          </w:divBdr>
          <w:divsChild>
            <w:div w:id="1705327869">
              <w:marLeft w:val="0"/>
              <w:marRight w:val="0"/>
              <w:marTop w:val="0"/>
              <w:marBottom w:val="0"/>
              <w:divBdr>
                <w:top w:val="none" w:sz="0" w:space="0" w:color="auto"/>
                <w:left w:val="none" w:sz="0" w:space="0" w:color="auto"/>
                <w:bottom w:val="none" w:sz="0" w:space="0" w:color="auto"/>
                <w:right w:val="none" w:sz="0" w:space="0" w:color="auto"/>
              </w:divBdr>
              <w:divsChild>
                <w:div w:id="4932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4046">
      <w:bodyDiv w:val="1"/>
      <w:marLeft w:val="0"/>
      <w:marRight w:val="0"/>
      <w:marTop w:val="0"/>
      <w:marBottom w:val="0"/>
      <w:divBdr>
        <w:top w:val="none" w:sz="0" w:space="0" w:color="auto"/>
        <w:left w:val="none" w:sz="0" w:space="0" w:color="auto"/>
        <w:bottom w:val="none" w:sz="0" w:space="0" w:color="auto"/>
        <w:right w:val="none" w:sz="0" w:space="0" w:color="auto"/>
      </w:divBdr>
      <w:divsChild>
        <w:div w:id="2010323971">
          <w:marLeft w:val="0"/>
          <w:marRight w:val="0"/>
          <w:marTop w:val="0"/>
          <w:marBottom w:val="0"/>
          <w:divBdr>
            <w:top w:val="none" w:sz="0" w:space="0" w:color="auto"/>
            <w:left w:val="none" w:sz="0" w:space="0" w:color="auto"/>
            <w:bottom w:val="none" w:sz="0" w:space="0" w:color="auto"/>
            <w:right w:val="none" w:sz="0" w:space="0" w:color="auto"/>
          </w:divBdr>
        </w:div>
      </w:divsChild>
    </w:div>
    <w:div w:id="775908013">
      <w:bodyDiv w:val="1"/>
      <w:marLeft w:val="0"/>
      <w:marRight w:val="0"/>
      <w:marTop w:val="0"/>
      <w:marBottom w:val="0"/>
      <w:divBdr>
        <w:top w:val="none" w:sz="0" w:space="0" w:color="auto"/>
        <w:left w:val="none" w:sz="0" w:space="0" w:color="auto"/>
        <w:bottom w:val="none" w:sz="0" w:space="0" w:color="auto"/>
        <w:right w:val="none" w:sz="0" w:space="0" w:color="auto"/>
      </w:divBdr>
    </w:div>
    <w:div w:id="783034206">
      <w:bodyDiv w:val="1"/>
      <w:marLeft w:val="0"/>
      <w:marRight w:val="0"/>
      <w:marTop w:val="0"/>
      <w:marBottom w:val="0"/>
      <w:divBdr>
        <w:top w:val="none" w:sz="0" w:space="0" w:color="auto"/>
        <w:left w:val="none" w:sz="0" w:space="0" w:color="auto"/>
        <w:bottom w:val="none" w:sz="0" w:space="0" w:color="auto"/>
        <w:right w:val="none" w:sz="0" w:space="0" w:color="auto"/>
      </w:divBdr>
      <w:divsChild>
        <w:div w:id="1548760616">
          <w:marLeft w:val="0"/>
          <w:marRight w:val="0"/>
          <w:marTop w:val="0"/>
          <w:marBottom w:val="0"/>
          <w:divBdr>
            <w:top w:val="none" w:sz="0" w:space="0" w:color="auto"/>
            <w:left w:val="none" w:sz="0" w:space="0" w:color="auto"/>
            <w:bottom w:val="none" w:sz="0" w:space="0" w:color="auto"/>
            <w:right w:val="none" w:sz="0" w:space="0" w:color="auto"/>
          </w:divBdr>
          <w:divsChild>
            <w:div w:id="1853105564">
              <w:marLeft w:val="0"/>
              <w:marRight w:val="0"/>
              <w:marTop w:val="0"/>
              <w:marBottom w:val="0"/>
              <w:divBdr>
                <w:top w:val="none" w:sz="0" w:space="0" w:color="auto"/>
                <w:left w:val="none" w:sz="0" w:space="0" w:color="auto"/>
                <w:bottom w:val="none" w:sz="0" w:space="0" w:color="auto"/>
                <w:right w:val="none" w:sz="0" w:space="0" w:color="auto"/>
              </w:divBdr>
              <w:divsChild>
                <w:div w:id="9918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01762">
      <w:bodyDiv w:val="1"/>
      <w:marLeft w:val="0"/>
      <w:marRight w:val="0"/>
      <w:marTop w:val="0"/>
      <w:marBottom w:val="0"/>
      <w:divBdr>
        <w:top w:val="none" w:sz="0" w:space="0" w:color="auto"/>
        <w:left w:val="none" w:sz="0" w:space="0" w:color="auto"/>
        <w:bottom w:val="none" w:sz="0" w:space="0" w:color="auto"/>
        <w:right w:val="none" w:sz="0" w:space="0" w:color="auto"/>
      </w:divBdr>
      <w:divsChild>
        <w:div w:id="805705624">
          <w:marLeft w:val="0"/>
          <w:marRight w:val="0"/>
          <w:marTop w:val="0"/>
          <w:marBottom w:val="0"/>
          <w:divBdr>
            <w:top w:val="none" w:sz="0" w:space="0" w:color="auto"/>
            <w:left w:val="none" w:sz="0" w:space="0" w:color="auto"/>
            <w:bottom w:val="none" w:sz="0" w:space="0" w:color="auto"/>
            <w:right w:val="none" w:sz="0" w:space="0" w:color="auto"/>
          </w:divBdr>
          <w:divsChild>
            <w:div w:id="1127898463">
              <w:marLeft w:val="0"/>
              <w:marRight w:val="0"/>
              <w:marTop w:val="0"/>
              <w:marBottom w:val="0"/>
              <w:divBdr>
                <w:top w:val="none" w:sz="0" w:space="0" w:color="auto"/>
                <w:left w:val="none" w:sz="0" w:space="0" w:color="auto"/>
                <w:bottom w:val="none" w:sz="0" w:space="0" w:color="auto"/>
                <w:right w:val="none" w:sz="0" w:space="0" w:color="auto"/>
              </w:divBdr>
              <w:divsChild>
                <w:div w:id="21116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3735">
      <w:bodyDiv w:val="1"/>
      <w:marLeft w:val="0"/>
      <w:marRight w:val="0"/>
      <w:marTop w:val="0"/>
      <w:marBottom w:val="0"/>
      <w:divBdr>
        <w:top w:val="none" w:sz="0" w:space="0" w:color="auto"/>
        <w:left w:val="none" w:sz="0" w:space="0" w:color="auto"/>
        <w:bottom w:val="none" w:sz="0" w:space="0" w:color="auto"/>
        <w:right w:val="none" w:sz="0" w:space="0" w:color="auto"/>
      </w:divBdr>
    </w:div>
    <w:div w:id="803621140">
      <w:bodyDiv w:val="1"/>
      <w:marLeft w:val="0"/>
      <w:marRight w:val="0"/>
      <w:marTop w:val="0"/>
      <w:marBottom w:val="0"/>
      <w:divBdr>
        <w:top w:val="none" w:sz="0" w:space="0" w:color="auto"/>
        <w:left w:val="none" w:sz="0" w:space="0" w:color="auto"/>
        <w:bottom w:val="none" w:sz="0" w:space="0" w:color="auto"/>
        <w:right w:val="none" w:sz="0" w:space="0" w:color="auto"/>
      </w:divBdr>
      <w:divsChild>
        <w:div w:id="1472866391">
          <w:marLeft w:val="0"/>
          <w:marRight w:val="0"/>
          <w:marTop w:val="0"/>
          <w:marBottom w:val="0"/>
          <w:divBdr>
            <w:top w:val="none" w:sz="0" w:space="0" w:color="auto"/>
            <w:left w:val="none" w:sz="0" w:space="0" w:color="auto"/>
            <w:bottom w:val="none" w:sz="0" w:space="0" w:color="auto"/>
            <w:right w:val="none" w:sz="0" w:space="0" w:color="auto"/>
          </w:divBdr>
          <w:divsChild>
            <w:div w:id="242109795">
              <w:marLeft w:val="0"/>
              <w:marRight w:val="0"/>
              <w:marTop w:val="0"/>
              <w:marBottom w:val="0"/>
              <w:divBdr>
                <w:top w:val="none" w:sz="0" w:space="0" w:color="auto"/>
                <w:left w:val="none" w:sz="0" w:space="0" w:color="auto"/>
                <w:bottom w:val="none" w:sz="0" w:space="0" w:color="auto"/>
                <w:right w:val="none" w:sz="0" w:space="0" w:color="auto"/>
              </w:divBdr>
              <w:divsChild>
                <w:div w:id="238030039">
                  <w:marLeft w:val="0"/>
                  <w:marRight w:val="0"/>
                  <w:marTop w:val="0"/>
                  <w:marBottom w:val="0"/>
                  <w:divBdr>
                    <w:top w:val="none" w:sz="0" w:space="0" w:color="auto"/>
                    <w:left w:val="none" w:sz="0" w:space="0" w:color="auto"/>
                    <w:bottom w:val="none" w:sz="0" w:space="0" w:color="auto"/>
                    <w:right w:val="none" w:sz="0" w:space="0" w:color="auto"/>
                  </w:divBdr>
                </w:div>
              </w:divsChild>
            </w:div>
            <w:div w:id="1540125471">
              <w:marLeft w:val="0"/>
              <w:marRight w:val="0"/>
              <w:marTop w:val="0"/>
              <w:marBottom w:val="0"/>
              <w:divBdr>
                <w:top w:val="none" w:sz="0" w:space="0" w:color="auto"/>
                <w:left w:val="none" w:sz="0" w:space="0" w:color="auto"/>
                <w:bottom w:val="none" w:sz="0" w:space="0" w:color="auto"/>
                <w:right w:val="none" w:sz="0" w:space="0" w:color="auto"/>
              </w:divBdr>
              <w:divsChild>
                <w:div w:id="1888057845">
                  <w:marLeft w:val="0"/>
                  <w:marRight w:val="0"/>
                  <w:marTop w:val="0"/>
                  <w:marBottom w:val="0"/>
                  <w:divBdr>
                    <w:top w:val="none" w:sz="0" w:space="0" w:color="auto"/>
                    <w:left w:val="none" w:sz="0" w:space="0" w:color="auto"/>
                    <w:bottom w:val="none" w:sz="0" w:space="0" w:color="auto"/>
                    <w:right w:val="none" w:sz="0" w:space="0" w:color="auto"/>
                  </w:divBdr>
                </w:div>
              </w:divsChild>
            </w:div>
            <w:div w:id="1220215747">
              <w:marLeft w:val="0"/>
              <w:marRight w:val="0"/>
              <w:marTop w:val="0"/>
              <w:marBottom w:val="0"/>
              <w:divBdr>
                <w:top w:val="none" w:sz="0" w:space="0" w:color="auto"/>
                <w:left w:val="none" w:sz="0" w:space="0" w:color="auto"/>
                <w:bottom w:val="none" w:sz="0" w:space="0" w:color="auto"/>
                <w:right w:val="none" w:sz="0" w:space="0" w:color="auto"/>
              </w:divBdr>
              <w:divsChild>
                <w:div w:id="1904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82175">
      <w:bodyDiv w:val="1"/>
      <w:marLeft w:val="0"/>
      <w:marRight w:val="0"/>
      <w:marTop w:val="0"/>
      <w:marBottom w:val="0"/>
      <w:divBdr>
        <w:top w:val="none" w:sz="0" w:space="0" w:color="auto"/>
        <w:left w:val="none" w:sz="0" w:space="0" w:color="auto"/>
        <w:bottom w:val="none" w:sz="0" w:space="0" w:color="auto"/>
        <w:right w:val="none" w:sz="0" w:space="0" w:color="auto"/>
      </w:divBdr>
      <w:divsChild>
        <w:div w:id="1413963013">
          <w:marLeft w:val="0"/>
          <w:marRight w:val="0"/>
          <w:marTop w:val="0"/>
          <w:marBottom w:val="0"/>
          <w:divBdr>
            <w:top w:val="none" w:sz="0" w:space="0" w:color="auto"/>
            <w:left w:val="none" w:sz="0" w:space="0" w:color="auto"/>
            <w:bottom w:val="none" w:sz="0" w:space="0" w:color="auto"/>
            <w:right w:val="none" w:sz="0" w:space="0" w:color="auto"/>
          </w:divBdr>
          <w:divsChild>
            <w:div w:id="2073770374">
              <w:marLeft w:val="0"/>
              <w:marRight w:val="0"/>
              <w:marTop w:val="0"/>
              <w:marBottom w:val="0"/>
              <w:divBdr>
                <w:top w:val="none" w:sz="0" w:space="0" w:color="auto"/>
                <w:left w:val="none" w:sz="0" w:space="0" w:color="auto"/>
                <w:bottom w:val="none" w:sz="0" w:space="0" w:color="auto"/>
                <w:right w:val="none" w:sz="0" w:space="0" w:color="auto"/>
              </w:divBdr>
              <w:divsChild>
                <w:div w:id="1705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3936">
      <w:bodyDiv w:val="1"/>
      <w:marLeft w:val="0"/>
      <w:marRight w:val="0"/>
      <w:marTop w:val="0"/>
      <w:marBottom w:val="0"/>
      <w:divBdr>
        <w:top w:val="none" w:sz="0" w:space="0" w:color="auto"/>
        <w:left w:val="none" w:sz="0" w:space="0" w:color="auto"/>
        <w:bottom w:val="none" w:sz="0" w:space="0" w:color="auto"/>
        <w:right w:val="none" w:sz="0" w:space="0" w:color="auto"/>
      </w:divBdr>
      <w:divsChild>
        <w:div w:id="851798508">
          <w:marLeft w:val="0"/>
          <w:marRight w:val="0"/>
          <w:marTop w:val="0"/>
          <w:marBottom w:val="0"/>
          <w:divBdr>
            <w:top w:val="none" w:sz="0" w:space="0" w:color="auto"/>
            <w:left w:val="none" w:sz="0" w:space="0" w:color="auto"/>
            <w:bottom w:val="none" w:sz="0" w:space="0" w:color="auto"/>
            <w:right w:val="none" w:sz="0" w:space="0" w:color="auto"/>
          </w:divBdr>
          <w:divsChild>
            <w:div w:id="2062484279">
              <w:marLeft w:val="0"/>
              <w:marRight w:val="0"/>
              <w:marTop w:val="0"/>
              <w:marBottom w:val="0"/>
              <w:divBdr>
                <w:top w:val="none" w:sz="0" w:space="0" w:color="auto"/>
                <w:left w:val="none" w:sz="0" w:space="0" w:color="auto"/>
                <w:bottom w:val="none" w:sz="0" w:space="0" w:color="auto"/>
                <w:right w:val="none" w:sz="0" w:space="0" w:color="auto"/>
              </w:divBdr>
              <w:divsChild>
                <w:div w:id="1882937203">
                  <w:marLeft w:val="0"/>
                  <w:marRight w:val="0"/>
                  <w:marTop w:val="0"/>
                  <w:marBottom w:val="0"/>
                  <w:divBdr>
                    <w:top w:val="none" w:sz="0" w:space="0" w:color="auto"/>
                    <w:left w:val="none" w:sz="0" w:space="0" w:color="auto"/>
                    <w:bottom w:val="none" w:sz="0" w:space="0" w:color="auto"/>
                    <w:right w:val="none" w:sz="0" w:space="0" w:color="auto"/>
                  </w:divBdr>
                </w:div>
              </w:divsChild>
            </w:div>
            <w:div w:id="1501388481">
              <w:marLeft w:val="0"/>
              <w:marRight w:val="0"/>
              <w:marTop w:val="0"/>
              <w:marBottom w:val="0"/>
              <w:divBdr>
                <w:top w:val="none" w:sz="0" w:space="0" w:color="auto"/>
                <w:left w:val="none" w:sz="0" w:space="0" w:color="auto"/>
                <w:bottom w:val="none" w:sz="0" w:space="0" w:color="auto"/>
                <w:right w:val="none" w:sz="0" w:space="0" w:color="auto"/>
              </w:divBdr>
              <w:divsChild>
                <w:div w:id="16852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6484">
      <w:bodyDiv w:val="1"/>
      <w:marLeft w:val="0"/>
      <w:marRight w:val="0"/>
      <w:marTop w:val="0"/>
      <w:marBottom w:val="0"/>
      <w:divBdr>
        <w:top w:val="none" w:sz="0" w:space="0" w:color="auto"/>
        <w:left w:val="none" w:sz="0" w:space="0" w:color="auto"/>
        <w:bottom w:val="none" w:sz="0" w:space="0" w:color="auto"/>
        <w:right w:val="none" w:sz="0" w:space="0" w:color="auto"/>
      </w:divBdr>
      <w:divsChild>
        <w:div w:id="1839421661">
          <w:marLeft w:val="0"/>
          <w:marRight w:val="0"/>
          <w:marTop w:val="0"/>
          <w:marBottom w:val="0"/>
          <w:divBdr>
            <w:top w:val="none" w:sz="0" w:space="0" w:color="auto"/>
            <w:left w:val="none" w:sz="0" w:space="0" w:color="auto"/>
            <w:bottom w:val="none" w:sz="0" w:space="0" w:color="auto"/>
            <w:right w:val="none" w:sz="0" w:space="0" w:color="auto"/>
          </w:divBdr>
          <w:divsChild>
            <w:div w:id="984744115">
              <w:marLeft w:val="0"/>
              <w:marRight w:val="0"/>
              <w:marTop w:val="0"/>
              <w:marBottom w:val="0"/>
              <w:divBdr>
                <w:top w:val="none" w:sz="0" w:space="0" w:color="auto"/>
                <w:left w:val="none" w:sz="0" w:space="0" w:color="auto"/>
                <w:bottom w:val="none" w:sz="0" w:space="0" w:color="auto"/>
                <w:right w:val="none" w:sz="0" w:space="0" w:color="auto"/>
              </w:divBdr>
              <w:divsChild>
                <w:div w:id="13634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57967">
      <w:bodyDiv w:val="1"/>
      <w:marLeft w:val="0"/>
      <w:marRight w:val="0"/>
      <w:marTop w:val="0"/>
      <w:marBottom w:val="0"/>
      <w:divBdr>
        <w:top w:val="none" w:sz="0" w:space="0" w:color="auto"/>
        <w:left w:val="none" w:sz="0" w:space="0" w:color="auto"/>
        <w:bottom w:val="none" w:sz="0" w:space="0" w:color="auto"/>
        <w:right w:val="none" w:sz="0" w:space="0" w:color="auto"/>
      </w:divBdr>
      <w:divsChild>
        <w:div w:id="1232040609">
          <w:marLeft w:val="0"/>
          <w:marRight w:val="0"/>
          <w:marTop w:val="0"/>
          <w:marBottom w:val="0"/>
          <w:divBdr>
            <w:top w:val="none" w:sz="0" w:space="0" w:color="auto"/>
            <w:left w:val="none" w:sz="0" w:space="0" w:color="auto"/>
            <w:bottom w:val="none" w:sz="0" w:space="0" w:color="auto"/>
            <w:right w:val="none" w:sz="0" w:space="0" w:color="auto"/>
          </w:divBdr>
          <w:divsChild>
            <w:div w:id="577252604">
              <w:marLeft w:val="0"/>
              <w:marRight w:val="0"/>
              <w:marTop w:val="0"/>
              <w:marBottom w:val="0"/>
              <w:divBdr>
                <w:top w:val="none" w:sz="0" w:space="0" w:color="auto"/>
                <w:left w:val="none" w:sz="0" w:space="0" w:color="auto"/>
                <w:bottom w:val="none" w:sz="0" w:space="0" w:color="auto"/>
                <w:right w:val="none" w:sz="0" w:space="0" w:color="auto"/>
              </w:divBdr>
              <w:divsChild>
                <w:div w:id="14355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3366">
      <w:bodyDiv w:val="1"/>
      <w:marLeft w:val="0"/>
      <w:marRight w:val="0"/>
      <w:marTop w:val="0"/>
      <w:marBottom w:val="0"/>
      <w:divBdr>
        <w:top w:val="none" w:sz="0" w:space="0" w:color="auto"/>
        <w:left w:val="none" w:sz="0" w:space="0" w:color="auto"/>
        <w:bottom w:val="none" w:sz="0" w:space="0" w:color="auto"/>
        <w:right w:val="none" w:sz="0" w:space="0" w:color="auto"/>
      </w:divBdr>
      <w:divsChild>
        <w:div w:id="1261137719">
          <w:marLeft w:val="0"/>
          <w:marRight w:val="0"/>
          <w:marTop w:val="0"/>
          <w:marBottom w:val="0"/>
          <w:divBdr>
            <w:top w:val="none" w:sz="0" w:space="0" w:color="auto"/>
            <w:left w:val="none" w:sz="0" w:space="0" w:color="auto"/>
            <w:bottom w:val="none" w:sz="0" w:space="0" w:color="auto"/>
            <w:right w:val="none" w:sz="0" w:space="0" w:color="auto"/>
          </w:divBdr>
          <w:divsChild>
            <w:div w:id="1818254438">
              <w:marLeft w:val="0"/>
              <w:marRight w:val="0"/>
              <w:marTop w:val="0"/>
              <w:marBottom w:val="0"/>
              <w:divBdr>
                <w:top w:val="none" w:sz="0" w:space="0" w:color="auto"/>
                <w:left w:val="none" w:sz="0" w:space="0" w:color="auto"/>
                <w:bottom w:val="none" w:sz="0" w:space="0" w:color="auto"/>
                <w:right w:val="none" w:sz="0" w:space="0" w:color="auto"/>
              </w:divBdr>
              <w:divsChild>
                <w:div w:id="14682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70383">
      <w:bodyDiv w:val="1"/>
      <w:marLeft w:val="0"/>
      <w:marRight w:val="0"/>
      <w:marTop w:val="0"/>
      <w:marBottom w:val="0"/>
      <w:divBdr>
        <w:top w:val="none" w:sz="0" w:space="0" w:color="auto"/>
        <w:left w:val="none" w:sz="0" w:space="0" w:color="auto"/>
        <w:bottom w:val="none" w:sz="0" w:space="0" w:color="auto"/>
        <w:right w:val="none" w:sz="0" w:space="0" w:color="auto"/>
      </w:divBdr>
    </w:div>
    <w:div w:id="860124355">
      <w:bodyDiv w:val="1"/>
      <w:marLeft w:val="0"/>
      <w:marRight w:val="0"/>
      <w:marTop w:val="0"/>
      <w:marBottom w:val="0"/>
      <w:divBdr>
        <w:top w:val="none" w:sz="0" w:space="0" w:color="auto"/>
        <w:left w:val="none" w:sz="0" w:space="0" w:color="auto"/>
        <w:bottom w:val="none" w:sz="0" w:space="0" w:color="auto"/>
        <w:right w:val="none" w:sz="0" w:space="0" w:color="auto"/>
      </w:divBdr>
    </w:div>
    <w:div w:id="869537546">
      <w:bodyDiv w:val="1"/>
      <w:marLeft w:val="0"/>
      <w:marRight w:val="0"/>
      <w:marTop w:val="0"/>
      <w:marBottom w:val="0"/>
      <w:divBdr>
        <w:top w:val="none" w:sz="0" w:space="0" w:color="auto"/>
        <w:left w:val="none" w:sz="0" w:space="0" w:color="auto"/>
        <w:bottom w:val="none" w:sz="0" w:space="0" w:color="auto"/>
        <w:right w:val="none" w:sz="0" w:space="0" w:color="auto"/>
      </w:divBdr>
      <w:divsChild>
        <w:div w:id="1169904200">
          <w:marLeft w:val="0"/>
          <w:marRight w:val="0"/>
          <w:marTop w:val="0"/>
          <w:marBottom w:val="0"/>
          <w:divBdr>
            <w:top w:val="none" w:sz="0" w:space="0" w:color="auto"/>
            <w:left w:val="none" w:sz="0" w:space="0" w:color="auto"/>
            <w:bottom w:val="none" w:sz="0" w:space="0" w:color="auto"/>
            <w:right w:val="none" w:sz="0" w:space="0" w:color="auto"/>
          </w:divBdr>
          <w:divsChild>
            <w:div w:id="656030933">
              <w:marLeft w:val="0"/>
              <w:marRight w:val="0"/>
              <w:marTop w:val="0"/>
              <w:marBottom w:val="0"/>
              <w:divBdr>
                <w:top w:val="none" w:sz="0" w:space="0" w:color="auto"/>
                <w:left w:val="none" w:sz="0" w:space="0" w:color="auto"/>
                <w:bottom w:val="none" w:sz="0" w:space="0" w:color="auto"/>
                <w:right w:val="none" w:sz="0" w:space="0" w:color="auto"/>
              </w:divBdr>
              <w:divsChild>
                <w:div w:id="209852539">
                  <w:marLeft w:val="0"/>
                  <w:marRight w:val="0"/>
                  <w:marTop w:val="0"/>
                  <w:marBottom w:val="0"/>
                  <w:divBdr>
                    <w:top w:val="none" w:sz="0" w:space="0" w:color="auto"/>
                    <w:left w:val="none" w:sz="0" w:space="0" w:color="auto"/>
                    <w:bottom w:val="none" w:sz="0" w:space="0" w:color="auto"/>
                    <w:right w:val="none" w:sz="0" w:space="0" w:color="auto"/>
                  </w:divBdr>
                  <w:divsChild>
                    <w:div w:id="9680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74892">
      <w:bodyDiv w:val="1"/>
      <w:marLeft w:val="0"/>
      <w:marRight w:val="0"/>
      <w:marTop w:val="0"/>
      <w:marBottom w:val="0"/>
      <w:divBdr>
        <w:top w:val="none" w:sz="0" w:space="0" w:color="auto"/>
        <w:left w:val="none" w:sz="0" w:space="0" w:color="auto"/>
        <w:bottom w:val="none" w:sz="0" w:space="0" w:color="auto"/>
        <w:right w:val="none" w:sz="0" w:space="0" w:color="auto"/>
      </w:divBdr>
    </w:div>
    <w:div w:id="872573314">
      <w:bodyDiv w:val="1"/>
      <w:marLeft w:val="0"/>
      <w:marRight w:val="0"/>
      <w:marTop w:val="0"/>
      <w:marBottom w:val="0"/>
      <w:divBdr>
        <w:top w:val="none" w:sz="0" w:space="0" w:color="auto"/>
        <w:left w:val="none" w:sz="0" w:space="0" w:color="auto"/>
        <w:bottom w:val="none" w:sz="0" w:space="0" w:color="auto"/>
        <w:right w:val="none" w:sz="0" w:space="0" w:color="auto"/>
      </w:divBdr>
      <w:divsChild>
        <w:div w:id="1239049351">
          <w:marLeft w:val="0"/>
          <w:marRight w:val="0"/>
          <w:marTop w:val="0"/>
          <w:marBottom w:val="0"/>
          <w:divBdr>
            <w:top w:val="none" w:sz="0" w:space="0" w:color="auto"/>
            <w:left w:val="none" w:sz="0" w:space="0" w:color="auto"/>
            <w:bottom w:val="none" w:sz="0" w:space="0" w:color="auto"/>
            <w:right w:val="none" w:sz="0" w:space="0" w:color="auto"/>
          </w:divBdr>
          <w:divsChild>
            <w:div w:id="1118380480">
              <w:marLeft w:val="0"/>
              <w:marRight w:val="0"/>
              <w:marTop w:val="0"/>
              <w:marBottom w:val="0"/>
              <w:divBdr>
                <w:top w:val="none" w:sz="0" w:space="0" w:color="auto"/>
                <w:left w:val="none" w:sz="0" w:space="0" w:color="auto"/>
                <w:bottom w:val="none" w:sz="0" w:space="0" w:color="auto"/>
                <w:right w:val="none" w:sz="0" w:space="0" w:color="auto"/>
              </w:divBdr>
              <w:divsChild>
                <w:div w:id="1369794202">
                  <w:marLeft w:val="0"/>
                  <w:marRight w:val="0"/>
                  <w:marTop w:val="0"/>
                  <w:marBottom w:val="0"/>
                  <w:divBdr>
                    <w:top w:val="none" w:sz="0" w:space="0" w:color="auto"/>
                    <w:left w:val="none" w:sz="0" w:space="0" w:color="auto"/>
                    <w:bottom w:val="none" w:sz="0" w:space="0" w:color="auto"/>
                    <w:right w:val="none" w:sz="0" w:space="0" w:color="auto"/>
                  </w:divBdr>
                </w:div>
                <w:div w:id="11875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5670">
      <w:bodyDiv w:val="1"/>
      <w:marLeft w:val="0"/>
      <w:marRight w:val="0"/>
      <w:marTop w:val="0"/>
      <w:marBottom w:val="0"/>
      <w:divBdr>
        <w:top w:val="none" w:sz="0" w:space="0" w:color="auto"/>
        <w:left w:val="none" w:sz="0" w:space="0" w:color="auto"/>
        <w:bottom w:val="none" w:sz="0" w:space="0" w:color="auto"/>
        <w:right w:val="none" w:sz="0" w:space="0" w:color="auto"/>
      </w:divBdr>
      <w:divsChild>
        <w:div w:id="805246011">
          <w:marLeft w:val="0"/>
          <w:marRight w:val="0"/>
          <w:marTop w:val="0"/>
          <w:marBottom w:val="0"/>
          <w:divBdr>
            <w:top w:val="none" w:sz="0" w:space="0" w:color="auto"/>
            <w:left w:val="none" w:sz="0" w:space="0" w:color="auto"/>
            <w:bottom w:val="none" w:sz="0" w:space="0" w:color="auto"/>
            <w:right w:val="none" w:sz="0" w:space="0" w:color="auto"/>
          </w:divBdr>
          <w:divsChild>
            <w:div w:id="1115292493">
              <w:marLeft w:val="0"/>
              <w:marRight w:val="0"/>
              <w:marTop w:val="0"/>
              <w:marBottom w:val="0"/>
              <w:divBdr>
                <w:top w:val="none" w:sz="0" w:space="0" w:color="auto"/>
                <w:left w:val="none" w:sz="0" w:space="0" w:color="auto"/>
                <w:bottom w:val="none" w:sz="0" w:space="0" w:color="auto"/>
                <w:right w:val="none" w:sz="0" w:space="0" w:color="auto"/>
              </w:divBdr>
              <w:divsChild>
                <w:div w:id="16173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4205">
      <w:bodyDiv w:val="1"/>
      <w:marLeft w:val="0"/>
      <w:marRight w:val="0"/>
      <w:marTop w:val="0"/>
      <w:marBottom w:val="0"/>
      <w:divBdr>
        <w:top w:val="none" w:sz="0" w:space="0" w:color="auto"/>
        <w:left w:val="none" w:sz="0" w:space="0" w:color="auto"/>
        <w:bottom w:val="none" w:sz="0" w:space="0" w:color="auto"/>
        <w:right w:val="none" w:sz="0" w:space="0" w:color="auto"/>
      </w:divBdr>
    </w:div>
    <w:div w:id="889728204">
      <w:bodyDiv w:val="1"/>
      <w:marLeft w:val="0"/>
      <w:marRight w:val="0"/>
      <w:marTop w:val="0"/>
      <w:marBottom w:val="0"/>
      <w:divBdr>
        <w:top w:val="none" w:sz="0" w:space="0" w:color="auto"/>
        <w:left w:val="none" w:sz="0" w:space="0" w:color="auto"/>
        <w:bottom w:val="none" w:sz="0" w:space="0" w:color="auto"/>
        <w:right w:val="none" w:sz="0" w:space="0" w:color="auto"/>
      </w:divBdr>
      <w:divsChild>
        <w:div w:id="894118883">
          <w:marLeft w:val="0"/>
          <w:marRight w:val="0"/>
          <w:marTop w:val="0"/>
          <w:marBottom w:val="0"/>
          <w:divBdr>
            <w:top w:val="none" w:sz="0" w:space="0" w:color="auto"/>
            <w:left w:val="none" w:sz="0" w:space="0" w:color="auto"/>
            <w:bottom w:val="none" w:sz="0" w:space="0" w:color="auto"/>
            <w:right w:val="none" w:sz="0" w:space="0" w:color="auto"/>
          </w:divBdr>
          <w:divsChild>
            <w:div w:id="1769958152">
              <w:marLeft w:val="0"/>
              <w:marRight w:val="0"/>
              <w:marTop w:val="0"/>
              <w:marBottom w:val="0"/>
              <w:divBdr>
                <w:top w:val="none" w:sz="0" w:space="0" w:color="auto"/>
                <w:left w:val="none" w:sz="0" w:space="0" w:color="auto"/>
                <w:bottom w:val="none" w:sz="0" w:space="0" w:color="auto"/>
                <w:right w:val="none" w:sz="0" w:space="0" w:color="auto"/>
              </w:divBdr>
              <w:divsChild>
                <w:div w:id="13328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6400">
      <w:bodyDiv w:val="1"/>
      <w:marLeft w:val="0"/>
      <w:marRight w:val="0"/>
      <w:marTop w:val="0"/>
      <w:marBottom w:val="0"/>
      <w:divBdr>
        <w:top w:val="none" w:sz="0" w:space="0" w:color="auto"/>
        <w:left w:val="none" w:sz="0" w:space="0" w:color="auto"/>
        <w:bottom w:val="none" w:sz="0" w:space="0" w:color="auto"/>
        <w:right w:val="none" w:sz="0" w:space="0" w:color="auto"/>
      </w:divBdr>
      <w:divsChild>
        <w:div w:id="465390262">
          <w:marLeft w:val="0"/>
          <w:marRight w:val="0"/>
          <w:marTop w:val="0"/>
          <w:marBottom w:val="0"/>
          <w:divBdr>
            <w:top w:val="none" w:sz="0" w:space="0" w:color="auto"/>
            <w:left w:val="none" w:sz="0" w:space="0" w:color="auto"/>
            <w:bottom w:val="none" w:sz="0" w:space="0" w:color="auto"/>
            <w:right w:val="none" w:sz="0" w:space="0" w:color="auto"/>
          </w:divBdr>
          <w:divsChild>
            <w:div w:id="1729258450">
              <w:marLeft w:val="0"/>
              <w:marRight w:val="0"/>
              <w:marTop w:val="0"/>
              <w:marBottom w:val="0"/>
              <w:divBdr>
                <w:top w:val="none" w:sz="0" w:space="0" w:color="auto"/>
                <w:left w:val="none" w:sz="0" w:space="0" w:color="auto"/>
                <w:bottom w:val="none" w:sz="0" w:space="0" w:color="auto"/>
                <w:right w:val="none" w:sz="0" w:space="0" w:color="auto"/>
              </w:divBdr>
              <w:divsChild>
                <w:div w:id="18618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4008">
      <w:bodyDiv w:val="1"/>
      <w:marLeft w:val="0"/>
      <w:marRight w:val="0"/>
      <w:marTop w:val="0"/>
      <w:marBottom w:val="0"/>
      <w:divBdr>
        <w:top w:val="none" w:sz="0" w:space="0" w:color="auto"/>
        <w:left w:val="none" w:sz="0" w:space="0" w:color="auto"/>
        <w:bottom w:val="none" w:sz="0" w:space="0" w:color="auto"/>
        <w:right w:val="none" w:sz="0" w:space="0" w:color="auto"/>
      </w:divBdr>
    </w:div>
    <w:div w:id="904992158">
      <w:bodyDiv w:val="1"/>
      <w:marLeft w:val="0"/>
      <w:marRight w:val="0"/>
      <w:marTop w:val="0"/>
      <w:marBottom w:val="0"/>
      <w:divBdr>
        <w:top w:val="none" w:sz="0" w:space="0" w:color="auto"/>
        <w:left w:val="none" w:sz="0" w:space="0" w:color="auto"/>
        <w:bottom w:val="none" w:sz="0" w:space="0" w:color="auto"/>
        <w:right w:val="none" w:sz="0" w:space="0" w:color="auto"/>
      </w:divBdr>
      <w:divsChild>
        <w:div w:id="954558910">
          <w:marLeft w:val="0"/>
          <w:marRight w:val="0"/>
          <w:marTop w:val="0"/>
          <w:marBottom w:val="0"/>
          <w:divBdr>
            <w:top w:val="none" w:sz="0" w:space="0" w:color="auto"/>
            <w:left w:val="none" w:sz="0" w:space="0" w:color="auto"/>
            <w:bottom w:val="none" w:sz="0" w:space="0" w:color="auto"/>
            <w:right w:val="none" w:sz="0" w:space="0" w:color="auto"/>
          </w:divBdr>
          <w:divsChild>
            <w:div w:id="494496550">
              <w:marLeft w:val="0"/>
              <w:marRight w:val="0"/>
              <w:marTop w:val="0"/>
              <w:marBottom w:val="0"/>
              <w:divBdr>
                <w:top w:val="none" w:sz="0" w:space="0" w:color="auto"/>
                <w:left w:val="none" w:sz="0" w:space="0" w:color="auto"/>
                <w:bottom w:val="none" w:sz="0" w:space="0" w:color="auto"/>
                <w:right w:val="none" w:sz="0" w:space="0" w:color="auto"/>
              </w:divBdr>
              <w:divsChild>
                <w:div w:id="3163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9606">
          <w:marLeft w:val="0"/>
          <w:marRight w:val="0"/>
          <w:marTop w:val="0"/>
          <w:marBottom w:val="0"/>
          <w:divBdr>
            <w:top w:val="none" w:sz="0" w:space="0" w:color="auto"/>
            <w:left w:val="none" w:sz="0" w:space="0" w:color="auto"/>
            <w:bottom w:val="none" w:sz="0" w:space="0" w:color="auto"/>
            <w:right w:val="none" w:sz="0" w:space="0" w:color="auto"/>
          </w:divBdr>
          <w:divsChild>
            <w:div w:id="997004233">
              <w:marLeft w:val="0"/>
              <w:marRight w:val="0"/>
              <w:marTop w:val="0"/>
              <w:marBottom w:val="0"/>
              <w:divBdr>
                <w:top w:val="none" w:sz="0" w:space="0" w:color="auto"/>
                <w:left w:val="none" w:sz="0" w:space="0" w:color="auto"/>
                <w:bottom w:val="none" w:sz="0" w:space="0" w:color="auto"/>
                <w:right w:val="none" w:sz="0" w:space="0" w:color="auto"/>
              </w:divBdr>
              <w:divsChild>
                <w:div w:id="9114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3458">
      <w:bodyDiv w:val="1"/>
      <w:marLeft w:val="0"/>
      <w:marRight w:val="0"/>
      <w:marTop w:val="0"/>
      <w:marBottom w:val="0"/>
      <w:divBdr>
        <w:top w:val="none" w:sz="0" w:space="0" w:color="auto"/>
        <w:left w:val="none" w:sz="0" w:space="0" w:color="auto"/>
        <w:bottom w:val="none" w:sz="0" w:space="0" w:color="auto"/>
        <w:right w:val="none" w:sz="0" w:space="0" w:color="auto"/>
      </w:divBdr>
      <w:divsChild>
        <w:div w:id="927617438">
          <w:marLeft w:val="0"/>
          <w:marRight w:val="0"/>
          <w:marTop w:val="0"/>
          <w:marBottom w:val="0"/>
          <w:divBdr>
            <w:top w:val="none" w:sz="0" w:space="0" w:color="auto"/>
            <w:left w:val="none" w:sz="0" w:space="0" w:color="auto"/>
            <w:bottom w:val="none" w:sz="0" w:space="0" w:color="auto"/>
            <w:right w:val="none" w:sz="0" w:space="0" w:color="auto"/>
          </w:divBdr>
          <w:divsChild>
            <w:div w:id="2032140329">
              <w:marLeft w:val="0"/>
              <w:marRight w:val="0"/>
              <w:marTop w:val="0"/>
              <w:marBottom w:val="0"/>
              <w:divBdr>
                <w:top w:val="none" w:sz="0" w:space="0" w:color="auto"/>
                <w:left w:val="none" w:sz="0" w:space="0" w:color="auto"/>
                <w:bottom w:val="none" w:sz="0" w:space="0" w:color="auto"/>
                <w:right w:val="none" w:sz="0" w:space="0" w:color="auto"/>
              </w:divBdr>
              <w:divsChild>
                <w:div w:id="13053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8530">
      <w:bodyDiv w:val="1"/>
      <w:marLeft w:val="0"/>
      <w:marRight w:val="0"/>
      <w:marTop w:val="0"/>
      <w:marBottom w:val="0"/>
      <w:divBdr>
        <w:top w:val="none" w:sz="0" w:space="0" w:color="auto"/>
        <w:left w:val="none" w:sz="0" w:space="0" w:color="auto"/>
        <w:bottom w:val="none" w:sz="0" w:space="0" w:color="auto"/>
        <w:right w:val="none" w:sz="0" w:space="0" w:color="auto"/>
      </w:divBdr>
      <w:divsChild>
        <w:div w:id="1218511643">
          <w:marLeft w:val="0"/>
          <w:marRight w:val="0"/>
          <w:marTop w:val="0"/>
          <w:marBottom w:val="0"/>
          <w:divBdr>
            <w:top w:val="none" w:sz="0" w:space="0" w:color="auto"/>
            <w:left w:val="none" w:sz="0" w:space="0" w:color="auto"/>
            <w:bottom w:val="none" w:sz="0" w:space="0" w:color="auto"/>
            <w:right w:val="none" w:sz="0" w:space="0" w:color="auto"/>
          </w:divBdr>
          <w:divsChild>
            <w:div w:id="1907301119">
              <w:marLeft w:val="0"/>
              <w:marRight w:val="0"/>
              <w:marTop w:val="0"/>
              <w:marBottom w:val="0"/>
              <w:divBdr>
                <w:top w:val="none" w:sz="0" w:space="0" w:color="auto"/>
                <w:left w:val="none" w:sz="0" w:space="0" w:color="auto"/>
                <w:bottom w:val="none" w:sz="0" w:space="0" w:color="auto"/>
                <w:right w:val="none" w:sz="0" w:space="0" w:color="auto"/>
              </w:divBdr>
              <w:divsChild>
                <w:div w:id="6968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7850">
      <w:bodyDiv w:val="1"/>
      <w:marLeft w:val="0"/>
      <w:marRight w:val="0"/>
      <w:marTop w:val="0"/>
      <w:marBottom w:val="0"/>
      <w:divBdr>
        <w:top w:val="none" w:sz="0" w:space="0" w:color="auto"/>
        <w:left w:val="none" w:sz="0" w:space="0" w:color="auto"/>
        <w:bottom w:val="none" w:sz="0" w:space="0" w:color="auto"/>
        <w:right w:val="none" w:sz="0" w:space="0" w:color="auto"/>
      </w:divBdr>
      <w:divsChild>
        <w:div w:id="1181240010">
          <w:marLeft w:val="0"/>
          <w:marRight w:val="0"/>
          <w:marTop w:val="0"/>
          <w:marBottom w:val="0"/>
          <w:divBdr>
            <w:top w:val="none" w:sz="0" w:space="0" w:color="auto"/>
            <w:left w:val="none" w:sz="0" w:space="0" w:color="auto"/>
            <w:bottom w:val="none" w:sz="0" w:space="0" w:color="auto"/>
            <w:right w:val="none" w:sz="0" w:space="0" w:color="auto"/>
          </w:divBdr>
          <w:divsChild>
            <w:div w:id="1796211447">
              <w:marLeft w:val="0"/>
              <w:marRight w:val="0"/>
              <w:marTop w:val="0"/>
              <w:marBottom w:val="0"/>
              <w:divBdr>
                <w:top w:val="none" w:sz="0" w:space="0" w:color="auto"/>
                <w:left w:val="none" w:sz="0" w:space="0" w:color="auto"/>
                <w:bottom w:val="none" w:sz="0" w:space="0" w:color="auto"/>
                <w:right w:val="none" w:sz="0" w:space="0" w:color="auto"/>
              </w:divBdr>
              <w:divsChild>
                <w:div w:id="15789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4264">
      <w:bodyDiv w:val="1"/>
      <w:marLeft w:val="0"/>
      <w:marRight w:val="0"/>
      <w:marTop w:val="0"/>
      <w:marBottom w:val="0"/>
      <w:divBdr>
        <w:top w:val="none" w:sz="0" w:space="0" w:color="auto"/>
        <w:left w:val="none" w:sz="0" w:space="0" w:color="auto"/>
        <w:bottom w:val="none" w:sz="0" w:space="0" w:color="auto"/>
        <w:right w:val="none" w:sz="0" w:space="0" w:color="auto"/>
      </w:divBdr>
      <w:divsChild>
        <w:div w:id="709691554">
          <w:marLeft w:val="0"/>
          <w:marRight w:val="0"/>
          <w:marTop w:val="0"/>
          <w:marBottom w:val="0"/>
          <w:divBdr>
            <w:top w:val="none" w:sz="0" w:space="0" w:color="auto"/>
            <w:left w:val="none" w:sz="0" w:space="0" w:color="auto"/>
            <w:bottom w:val="none" w:sz="0" w:space="0" w:color="auto"/>
            <w:right w:val="none" w:sz="0" w:space="0" w:color="auto"/>
          </w:divBdr>
          <w:divsChild>
            <w:div w:id="486242150">
              <w:marLeft w:val="0"/>
              <w:marRight w:val="0"/>
              <w:marTop w:val="0"/>
              <w:marBottom w:val="0"/>
              <w:divBdr>
                <w:top w:val="none" w:sz="0" w:space="0" w:color="auto"/>
                <w:left w:val="none" w:sz="0" w:space="0" w:color="auto"/>
                <w:bottom w:val="none" w:sz="0" w:space="0" w:color="auto"/>
                <w:right w:val="none" w:sz="0" w:space="0" w:color="auto"/>
              </w:divBdr>
              <w:divsChild>
                <w:div w:id="7736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6831">
      <w:bodyDiv w:val="1"/>
      <w:marLeft w:val="0"/>
      <w:marRight w:val="0"/>
      <w:marTop w:val="0"/>
      <w:marBottom w:val="0"/>
      <w:divBdr>
        <w:top w:val="none" w:sz="0" w:space="0" w:color="auto"/>
        <w:left w:val="none" w:sz="0" w:space="0" w:color="auto"/>
        <w:bottom w:val="none" w:sz="0" w:space="0" w:color="auto"/>
        <w:right w:val="none" w:sz="0" w:space="0" w:color="auto"/>
      </w:divBdr>
      <w:divsChild>
        <w:div w:id="1605501059">
          <w:marLeft w:val="0"/>
          <w:marRight w:val="0"/>
          <w:marTop w:val="0"/>
          <w:marBottom w:val="0"/>
          <w:divBdr>
            <w:top w:val="none" w:sz="0" w:space="0" w:color="auto"/>
            <w:left w:val="none" w:sz="0" w:space="0" w:color="auto"/>
            <w:bottom w:val="none" w:sz="0" w:space="0" w:color="auto"/>
            <w:right w:val="none" w:sz="0" w:space="0" w:color="auto"/>
          </w:divBdr>
          <w:divsChild>
            <w:div w:id="2087071670">
              <w:marLeft w:val="0"/>
              <w:marRight w:val="0"/>
              <w:marTop w:val="0"/>
              <w:marBottom w:val="0"/>
              <w:divBdr>
                <w:top w:val="none" w:sz="0" w:space="0" w:color="auto"/>
                <w:left w:val="none" w:sz="0" w:space="0" w:color="auto"/>
                <w:bottom w:val="none" w:sz="0" w:space="0" w:color="auto"/>
                <w:right w:val="none" w:sz="0" w:space="0" w:color="auto"/>
              </w:divBdr>
              <w:divsChild>
                <w:div w:id="1621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5887">
      <w:bodyDiv w:val="1"/>
      <w:marLeft w:val="0"/>
      <w:marRight w:val="0"/>
      <w:marTop w:val="0"/>
      <w:marBottom w:val="0"/>
      <w:divBdr>
        <w:top w:val="none" w:sz="0" w:space="0" w:color="auto"/>
        <w:left w:val="none" w:sz="0" w:space="0" w:color="auto"/>
        <w:bottom w:val="none" w:sz="0" w:space="0" w:color="auto"/>
        <w:right w:val="none" w:sz="0" w:space="0" w:color="auto"/>
      </w:divBdr>
      <w:divsChild>
        <w:div w:id="1546871806">
          <w:marLeft w:val="0"/>
          <w:marRight w:val="0"/>
          <w:marTop w:val="0"/>
          <w:marBottom w:val="0"/>
          <w:divBdr>
            <w:top w:val="none" w:sz="0" w:space="0" w:color="auto"/>
            <w:left w:val="none" w:sz="0" w:space="0" w:color="auto"/>
            <w:bottom w:val="none" w:sz="0" w:space="0" w:color="auto"/>
            <w:right w:val="none" w:sz="0" w:space="0" w:color="auto"/>
          </w:divBdr>
          <w:divsChild>
            <w:div w:id="1870871969">
              <w:marLeft w:val="0"/>
              <w:marRight w:val="0"/>
              <w:marTop w:val="0"/>
              <w:marBottom w:val="0"/>
              <w:divBdr>
                <w:top w:val="none" w:sz="0" w:space="0" w:color="auto"/>
                <w:left w:val="none" w:sz="0" w:space="0" w:color="auto"/>
                <w:bottom w:val="none" w:sz="0" w:space="0" w:color="auto"/>
                <w:right w:val="none" w:sz="0" w:space="0" w:color="auto"/>
              </w:divBdr>
              <w:divsChild>
                <w:div w:id="20904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94155">
      <w:bodyDiv w:val="1"/>
      <w:marLeft w:val="0"/>
      <w:marRight w:val="0"/>
      <w:marTop w:val="0"/>
      <w:marBottom w:val="0"/>
      <w:divBdr>
        <w:top w:val="none" w:sz="0" w:space="0" w:color="auto"/>
        <w:left w:val="none" w:sz="0" w:space="0" w:color="auto"/>
        <w:bottom w:val="none" w:sz="0" w:space="0" w:color="auto"/>
        <w:right w:val="none" w:sz="0" w:space="0" w:color="auto"/>
      </w:divBdr>
      <w:divsChild>
        <w:div w:id="990982947">
          <w:marLeft w:val="0"/>
          <w:marRight w:val="0"/>
          <w:marTop w:val="0"/>
          <w:marBottom w:val="0"/>
          <w:divBdr>
            <w:top w:val="none" w:sz="0" w:space="0" w:color="auto"/>
            <w:left w:val="none" w:sz="0" w:space="0" w:color="auto"/>
            <w:bottom w:val="none" w:sz="0" w:space="0" w:color="auto"/>
            <w:right w:val="none" w:sz="0" w:space="0" w:color="auto"/>
          </w:divBdr>
        </w:div>
        <w:div w:id="1742940725">
          <w:marLeft w:val="0"/>
          <w:marRight w:val="0"/>
          <w:marTop w:val="0"/>
          <w:marBottom w:val="0"/>
          <w:divBdr>
            <w:top w:val="none" w:sz="0" w:space="0" w:color="auto"/>
            <w:left w:val="none" w:sz="0" w:space="0" w:color="auto"/>
            <w:bottom w:val="none" w:sz="0" w:space="0" w:color="auto"/>
            <w:right w:val="none" w:sz="0" w:space="0" w:color="auto"/>
          </w:divBdr>
        </w:div>
        <w:div w:id="958221489">
          <w:marLeft w:val="0"/>
          <w:marRight w:val="0"/>
          <w:marTop w:val="0"/>
          <w:marBottom w:val="0"/>
          <w:divBdr>
            <w:top w:val="none" w:sz="0" w:space="0" w:color="auto"/>
            <w:left w:val="none" w:sz="0" w:space="0" w:color="auto"/>
            <w:bottom w:val="none" w:sz="0" w:space="0" w:color="auto"/>
            <w:right w:val="none" w:sz="0" w:space="0" w:color="auto"/>
          </w:divBdr>
        </w:div>
        <w:div w:id="1037663312">
          <w:marLeft w:val="0"/>
          <w:marRight w:val="0"/>
          <w:marTop w:val="0"/>
          <w:marBottom w:val="0"/>
          <w:divBdr>
            <w:top w:val="none" w:sz="0" w:space="0" w:color="auto"/>
            <w:left w:val="none" w:sz="0" w:space="0" w:color="auto"/>
            <w:bottom w:val="none" w:sz="0" w:space="0" w:color="auto"/>
            <w:right w:val="none" w:sz="0" w:space="0" w:color="auto"/>
          </w:divBdr>
        </w:div>
        <w:div w:id="829558298">
          <w:marLeft w:val="0"/>
          <w:marRight w:val="0"/>
          <w:marTop w:val="0"/>
          <w:marBottom w:val="0"/>
          <w:divBdr>
            <w:top w:val="none" w:sz="0" w:space="0" w:color="auto"/>
            <w:left w:val="none" w:sz="0" w:space="0" w:color="auto"/>
            <w:bottom w:val="none" w:sz="0" w:space="0" w:color="auto"/>
            <w:right w:val="none" w:sz="0" w:space="0" w:color="auto"/>
          </w:divBdr>
        </w:div>
        <w:div w:id="404843614">
          <w:marLeft w:val="0"/>
          <w:marRight w:val="0"/>
          <w:marTop w:val="0"/>
          <w:marBottom w:val="0"/>
          <w:divBdr>
            <w:top w:val="none" w:sz="0" w:space="0" w:color="auto"/>
            <w:left w:val="none" w:sz="0" w:space="0" w:color="auto"/>
            <w:bottom w:val="none" w:sz="0" w:space="0" w:color="auto"/>
            <w:right w:val="none" w:sz="0" w:space="0" w:color="auto"/>
          </w:divBdr>
        </w:div>
        <w:div w:id="7876746">
          <w:marLeft w:val="0"/>
          <w:marRight w:val="0"/>
          <w:marTop w:val="0"/>
          <w:marBottom w:val="0"/>
          <w:divBdr>
            <w:top w:val="none" w:sz="0" w:space="0" w:color="auto"/>
            <w:left w:val="none" w:sz="0" w:space="0" w:color="auto"/>
            <w:bottom w:val="none" w:sz="0" w:space="0" w:color="auto"/>
            <w:right w:val="none" w:sz="0" w:space="0" w:color="auto"/>
          </w:divBdr>
        </w:div>
      </w:divsChild>
    </w:div>
    <w:div w:id="953903551">
      <w:bodyDiv w:val="1"/>
      <w:marLeft w:val="0"/>
      <w:marRight w:val="0"/>
      <w:marTop w:val="0"/>
      <w:marBottom w:val="0"/>
      <w:divBdr>
        <w:top w:val="none" w:sz="0" w:space="0" w:color="auto"/>
        <w:left w:val="none" w:sz="0" w:space="0" w:color="auto"/>
        <w:bottom w:val="none" w:sz="0" w:space="0" w:color="auto"/>
        <w:right w:val="none" w:sz="0" w:space="0" w:color="auto"/>
      </w:divBdr>
      <w:divsChild>
        <w:div w:id="453212373">
          <w:marLeft w:val="0"/>
          <w:marRight w:val="0"/>
          <w:marTop w:val="0"/>
          <w:marBottom w:val="0"/>
          <w:divBdr>
            <w:top w:val="none" w:sz="0" w:space="0" w:color="auto"/>
            <w:left w:val="none" w:sz="0" w:space="0" w:color="auto"/>
            <w:bottom w:val="none" w:sz="0" w:space="0" w:color="auto"/>
            <w:right w:val="none" w:sz="0" w:space="0" w:color="auto"/>
          </w:divBdr>
          <w:divsChild>
            <w:div w:id="951858430">
              <w:marLeft w:val="0"/>
              <w:marRight w:val="0"/>
              <w:marTop w:val="0"/>
              <w:marBottom w:val="0"/>
              <w:divBdr>
                <w:top w:val="none" w:sz="0" w:space="0" w:color="auto"/>
                <w:left w:val="none" w:sz="0" w:space="0" w:color="auto"/>
                <w:bottom w:val="none" w:sz="0" w:space="0" w:color="auto"/>
                <w:right w:val="none" w:sz="0" w:space="0" w:color="auto"/>
              </w:divBdr>
              <w:divsChild>
                <w:div w:id="1118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9503">
      <w:bodyDiv w:val="1"/>
      <w:marLeft w:val="0"/>
      <w:marRight w:val="0"/>
      <w:marTop w:val="0"/>
      <w:marBottom w:val="0"/>
      <w:divBdr>
        <w:top w:val="none" w:sz="0" w:space="0" w:color="auto"/>
        <w:left w:val="none" w:sz="0" w:space="0" w:color="auto"/>
        <w:bottom w:val="none" w:sz="0" w:space="0" w:color="auto"/>
        <w:right w:val="none" w:sz="0" w:space="0" w:color="auto"/>
      </w:divBdr>
      <w:divsChild>
        <w:div w:id="960497966">
          <w:marLeft w:val="0"/>
          <w:marRight w:val="0"/>
          <w:marTop w:val="0"/>
          <w:marBottom w:val="0"/>
          <w:divBdr>
            <w:top w:val="none" w:sz="0" w:space="0" w:color="auto"/>
            <w:left w:val="none" w:sz="0" w:space="0" w:color="auto"/>
            <w:bottom w:val="none" w:sz="0" w:space="0" w:color="auto"/>
            <w:right w:val="none" w:sz="0" w:space="0" w:color="auto"/>
          </w:divBdr>
          <w:divsChild>
            <w:div w:id="760293857">
              <w:marLeft w:val="0"/>
              <w:marRight w:val="0"/>
              <w:marTop w:val="0"/>
              <w:marBottom w:val="0"/>
              <w:divBdr>
                <w:top w:val="none" w:sz="0" w:space="0" w:color="auto"/>
                <w:left w:val="none" w:sz="0" w:space="0" w:color="auto"/>
                <w:bottom w:val="none" w:sz="0" w:space="0" w:color="auto"/>
                <w:right w:val="none" w:sz="0" w:space="0" w:color="auto"/>
              </w:divBdr>
              <w:divsChild>
                <w:div w:id="19201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7844">
      <w:bodyDiv w:val="1"/>
      <w:marLeft w:val="0"/>
      <w:marRight w:val="0"/>
      <w:marTop w:val="0"/>
      <w:marBottom w:val="0"/>
      <w:divBdr>
        <w:top w:val="none" w:sz="0" w:space="0" w:color="auto"/>
        <w:left w:val="none" w:sz="0" w:space="0" w:color="auto"/>
        <w:bottom w:val="none" w:sz="0" w:space="0" w:color="auto"/>
        <w:right w:val="none" w:sz="0" w:space="0" w:color="auto"/>
      </w:divBdr>
    </w:div>
    <w:div w:id="970330425">
      <w:bodyDiv w:val="1"/>
      <w:marLeft w:val="0"/>
      <w:marRight w:val="0"/>
      <w:marTop w:val="0"/>
      <w:marBottom w:val="0"/>
      <w:divBdr>
        <w:top w:val="none" w:sz="0" w:space="0" w:color="auto"/>
        <w:left w:val="none" w:sz="0" w:space="0" w:color="auto"/>
        <w:bottom w:val="none" w:sz="0" w:space="0" w:color="auto"/>
        <w:right w:val="none" w:sz="0" w:space="0" w:color="auto"/>
      </w:divBdr>
    </w:div>
    <w:div w:id="973682440">
      <w:bodyDiv w:val="1"/>
      <w:marLeft w:val="0"/>
      <w:marRight w:val="0"/>
      <w:marTop w:val="0"/>
      <w:marBottom w:val="0"/>
      <w:divBdr>
        <w:top w:val="none" w:sz="0" w:space="0" w:color="auto"/>
        <w:left w:val="none" w:sz="0" w:space="0" w:color="auto"/>
        <w:bottom w:val="none" w:sz="0" w:space="0" w:color="auto"/>
        <w:right w:val="none" w:sz="0" w:space="0" w:color="auto"/>
      </w:divBdr>
    </w:div>
    <w:div w:id="979772727">
      <w:bodyDiv w:val="1"/>
      <w:marLeft w:val="0"/>
      <w:marRight w:val="0"/>
      <w:marTop w:val="0"/>
      <w:marBottom w:val="0"/>
      <w:divBdr>
        <w:top w:val="none" w:sz="0" w:space="0" w:color="auto"/>
        <w:left w:val="none" w:sz="0" w:space="0" w:color="auto"/>
        <w:bottom w:val="none" w:sz="0" w:space="0" w:color="auto"/>
        <w:right w:val="none" w:sz="0" w:space="0" w:color="auto"/>
      </w:divBdr>
      <w:divsChild>
        <w:div w:id="773860623">
          <w:marLeft w:val="0"/>
          <w:marRight w:val="0"/>
          <w:marTop w:val="0"/>
          <w:marBottom w:val="0"/>
          <w:divBdr>
            <w:top w:val="none" w:sz="0" w:space="0" w:color="auto"/>
            <w:left w:val="none" w:sz="0" w:space="0" w:color="auto"/>
            <w:bottom w:val="none" w:sz="0" w:space="0" w:color="auto"/>
            <w:right w:val="none" w:sz="0" w:space="0" w:color="auto"/>
          </w:divBdr>
          <w:divsChild>
            <w:div w:id="425924367">
              <w:marLeft w:val="0"/>
              <w:marRight w:val="0"/>
              <w:marTop w:val="0"/>
              <w:marBottom w:val="0"/>
              <w:divBdr>
                <w:top w:val="none" w:sz="0" w:space="0" w:color="auto"/>
                <w:left w:val="none" w:sz="0" w:space="0" w:color="auto"/>
                <w:bottom w:val="none" w:sz="0" w:space="0" w:color="auto"/>
                <w:right w:val="none" w:sz="0" w:space="0" w:color="auto"/>
              </w:divBdr>
              <w:divsChild>
                <w:div w:id="8907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1303">
      <w:bodyDiv w:val="1"/>
      <w:marLeft w:val="0"/>
      <w:marRight w:val="0"/>
      <w:marTop w:val="0"/>
      <w:marBottom w:val="0"/>
      <w:divBdr>
        <w:top w:val="none" w:sz="0" w:space="0" w:color="auto"/>
        <w:left w:val="none" w:sz="0" w:space="0" w:color="auto"/>
        <w:bottom w:val="none" w:sz="0" w:space="0" w:color="auto"/>
        <w:right w:val="none" w:sz="0" w:space="0" w:color="auto"/>
      </w:divBdr>
      <w:divsChild>
        <w:div w:id="563640640">
          <w:marLeft w:val="0"/>
          <w:marRight w:val="0"/>
          <w:marTop w:val="0"/>
          <w:marBottom w:val="0"/>
          <w:divBdr>
            <w:top w:val="none" w:sz="0" w:space="0" w:color="auto"/>
            <w:left w:val="none" w:sz="0" w:space="0" w:color="auto"/>
            <w:bottom w:val="none" w:sz="0" w:space="0" w:color="auto"/>
            <w:right w:val="none" w:sz="0" w:space="0" w:color="auto"/>
          </w:divBdr>
          <w:divsChild>
            <w:div w:id="364915489">
              <w:marLeft w:val="0"/>
              <w:marRight w:val="0"/>
              <w:marTop w:val="0"/>
              <w:marBottom w:val="0"/>
              <w:divBdr>
                <w:top w:val="none" w:sz="0" w:space="0" w:color="auto"/>
                <w:left w:val="none" w:sz="0" w:space="0" w:color="auto"/>
                <w:bottom w:val="none" w:sz="0" w:space="0" w:color="auto"/>
                <w:right w:val="none" w:sz="0" w:space="0" w:color="auto"/>
              </w:divBdr>
              <w:divsChild>
                <w:div w:id="20822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9786">
      <w:bodyDiv w:val="1"/>
      <w:marLeft w:val="0"/>
      <w:marRight w:val="0"/>
      <w:marTop w:val="0"/>
      <w:marBottom w:val="0"/>
      <w:divBdr>
        <w:top w:val="none" w:sz="0" w:space="0" w:color="auto"/>
        <w:left w:val="none" w:sz="0" w:space="0" w:color="auto"/>
        <w:bottom w:val="none" w:sz="0" w:space="0" w:color="auto"/>
        <w:right w:val="none" w:sz="0" w:space="0" w:color="auto"/>
      </w:divBdr>
      <w:divsChild>
        <w:div w:id="1462962074">
          <w:marLeft w:val="0"/>
          <w:marRight w:val="0"/>
          <w:marTop w:val="0"/>
          <w:marBottom w:val="0"/>
          <w:divBdr>
            <w:top w:val="none" w:sz="0" w:space="0" w:color="auto"/>
            <w:left w:val="none" w:sz="0" w:space="0" w:color="auto"/>
            <w:bottom w:val="none" w:sz="0" w:space="0" w:color="auto"/>
            <w:right w:val="none" w:sz="0" w:space="0" w:color="auto"/>
          </w:divBdr>
          <w:divsChild>
            <w:div w:id="1829857426">
              <w:marLeft w:val="0"/>
              <w:marRight w:val="0"/>
              <w:marTop w:val="0"/>
              <w:marBottom w:val="0"/>
              <w:divBdr>
                <w:top w:val="none" w:sz="0" w:space="0" w:color="auto"/>
                <w:left w:val="none" w:sz="0" w:space="0" w:color="auto"/>
                <w:bottom w:val="none" w:sz="0" w:space="0" w:color="auto"/>
                <w:right w:val="none" w:sz="0" w:space="0" w:color="auto"/>
              </w:divBdr>
              <w:divsChild>
                <w:div w:id="1197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69801">
      <w:bodyDiv w:val="1"/>
      <w:marLeft w:val="0"/>
      <w:marRight w:val="0"/>
      <w:marTop w:val="0"/>
      <w:marBottom w:val="0"/>
      <w:divBdr>
        <w:top w:val="none" w:sz="0" w:space="0" w:color="auto"/>
        <w:left w:val="none" w:sz="0" w:space="0" w:color="auto"/>
        <w:bottom w:val="none" w:sz="0" w:space="0" w:color="auto"/>
        <w:right w:val="none" w:sz="0" w:space="0" w:color="auto"/>
      </w:divBdr>
      <w:divsChild>
        <w:div w:id="1751539904">
          <w:marLeft w:val="0"/>
          <w:marRight w:val="0"/>
          <w:marTop w:val="0"/>
          <w:marBottom w:val="0"/>
          <w:divBdr>
            <w:top w:val="none" w:sz="0" w:space="0" w:color="auto"/>
            <w:left w:val="none" w:sz="0" w:space="0" w:color="auto"/>
            <w:bottom w:val="none" w:sz="0" w:space="0" w:color="auto"/>
            <w:right w:val="none" w:sz="0" w:space="0" w:color="auto"/>
          </w:divBdr>
          <w:divsChild>
            <w:div w:id="991831332">
              <w:marLeft w:val="0"/>
              <w:marRight w:val="0"/>
              <w:marTop w:val="0"/>
              <w:marBottom w:val="0"/>
              <w:divBdr>
                <w:top w:val="none" w:sz="0" w:space="0" w:color="auto"/>
                <w:left w:val="none" w:sz="0" w:space="0" w:color="auto"/>
                <w:bottom w:val="none" w:sz="0" w:space="0" w:color="auto"/>
                <w:right w:val="none" w:sz="0" w:space="0" w:color="auto"/>
              </w:divBdr>
              <w:divsChild>
                <w:div w:id="1624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8123">
      <w:bodyDiv w:val="1"/>
      <w:marLeft w:val="0"/>
      <w:marRight w:val="0"/>
      <w:marTop w:val="0"/>
      <w:marBottom w:val="0"/>
      <w:divBdr>
        <w:top w:val="none" w:sz="0" w:space="0" w:color="auto"/>
        <w:left w:val="none" w:sz="0" w:space="0" w:color="auto"/>
        <w:bottom w:val="none" w:sz="0" w:space="0" w:color="auto"/>
        <w:right w:val="none" w:sz="0" w:space="0" w:color="auto"/>
      </w:divBdr>
      <w:divsChild>
        <w:div w:id="171258701">
          <w:marLeft w:val="0"/>
          <w:marRight w:val="0"/>
          <w:marTop w:val="0"/>
          <w:marBottom w:val="0"/>
          <w:divBdr>
            <w:top w:val="none" w:sz="0" w:space="0" w:color="auto"/>
            <w:left w:val="none" w:sz="0" w:space="0" w:color="auto"/>
            <w:bottom w:val="none" w:sz="0" w:space="0" w:color="auto"/>
            <w:right w:val="none" w:sz="0" w:space="0" w:color="auto"/>
          </w:divBdr>
        </w:div>
      </w:divsChild>
    </w:div>
    <w:div w:id="1003169465">
      <w:bodyDiv w:val="1"/>
      <w:marLeft w:val="0"/>
      <w:marRight w:val="0"/>
      <w:marTop w:val="0"/>
      <w:marBottom w:val="0"/>
      <w:divBdr>
        <w:top w:val="none" w:sz="0" w:space="0" w:color="auto"/>
        <w:left w:val="none" w:sz="0" w:space="0" w:color="auto"/>
        <w:bottom w:val="none" w:sz="0" w:space="0" w:color="auto"/>
        <w:right w:val="none" w:sz="0" w:space="0" w:color="auto"/>
      </w:divBdr>
      <w:divsChild>
        <w:div w:id="341736728">
          <w:marLeft w:val="0"/>
          <w:marRight w:val="0"/>
          <w:marTop w:val="0"/>
          <w:marBottom w:val="0"/>
          <w:divBdr>
            <w:top w:val="none" w:sz="0" w:space="0" w:color="auto"/>
            <w:left w:val="none" w:sz="0" w:space="0" w:color="auto"/>
            <w:bottom w:val="none" w:sz="0" w:space="0" w:color="auto"/>
            <w:right w:val="none" w:sz="0" w:space="0" w:color="auto"/>
          </w:divBdr>
          <w:divsChild>
            <w:div w:id="1564409983">
              <w:marLeft w:val="0"/>
              <w:marRight w:val="0"/>
              <w:marTop w:val="0"/>
              <w:marBottom w:val="0"/>
              <w:divBdr>
                <w:top w:val="none" w:sz="0" w:space="0" w:color="auto"/>
                <w:left w:val="none" w:sz="0" w:space="0" w:color="auto"/>
                <w:bottom w:val="none" w:sz="0" w:space="0" w:color="auto"/>
                <w:right w:val="none" w:sz="0" w:space="0" w:color="auto"/>
              </w:divBdr>
              <w:divsChild>
                <w:div w:id="9927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9">
      <w:bodyDiv w:val="1"/>
      <w:marLeft w:val="0"/>
      <w:marRight w:val="0"/>
      <w:marTop w:val="0"/>
      <w:marBottom w:val="0"/>
      <w:divBdr>
        <w:top w:val="none" w:sz="0" w:space="0" w:color="auto"/>
        <w:left w:val="none" w:sz="0" w:space="0" w:color="auto"/>
        <w:bottom w:val="none" w:sz="0" w:space="0" w:color="auto"/>
        <w:right w:val="none" w:sz="0" w:space="0" w:color="auto"/>
      </w:divBdr>
      <w:divsChild>
        <w:div w:id="486896286">
          <w:marLeft w:val="0"/>
          <w:marRight w:val="0"/>
          <w:marTop w:val="0"/>
          <w:marBottom w:val="0"/>
          <w:divBdr>
            <w:top w:val="none" w:sz="0" w:space="0" w:color="auto"/>
            <w:left w:val="none" w:sz="0" w:space="0" w:color="auto"/>
            <w:bottom w:val="none" w:sz="0" w:space="0" w:color="auto"/>
            <w:right w:val="none" w:sz="0" w:space="0" w:color="auto"/>
          </w:divBdr>
          <w:divsChild>
            <w:div w:id="477649610">
              <w:marLeft w:val="0"/>
              <w:marRight w:val="0"/>
              <w:marTop w:val="0"/>
              <w:marBottom w:val="0"/>
              <w:divBdr>
                <w:top w:val="none" w:sz="0" w:space="0" w:color="auto"/>
                <w:left w:val="none" w:sz="0" w:space="0" w:color="auto"/>
                <w:bottom w:val="none" w:sz="0" w:space="0" w:color="auto"/>
                <w:right w:val="none" w:sz="0" w:space="0" w:color="auto"/>
              </w:divBdr>
              <w:divsChild>
                <w:div w:id="10203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984">
      <w:bodyDiv w:val="1"/>
      <w:marLeft w:val="0"/>
      <w:marRight w:val="0"/>
      <w:marTop w:val="0"/>
      <w:marBottom w:val="0"/>
      <w:divBdr>
        <w:top w:val="none" w:sz="0" w:space="0" w:color="auto"/>
        <w:left w:val="none" w:sz="0" w:space="0" w:color="auto"/>
        <w:bottom w:val="none" w:sz="0" w:space="0" w:color="auto"/>
        <w:right w:val="none" w:sz="0" w:space="0" w:color="auto"/>
      </w:divBdr>
      <w:divsChild>
        <w:div w:id="729963691">
          <w:marLeft w:val="0"/>
          <w:marRight w:val="0"/>
          <w:marTop w:val="0"/>
          <w:marBottom w:val="0"/>
          <w:divBdr>
            <w:top w:val="none" w:sz="0" w:space="0" w:color="auto"/>
            <w:left w:val="none" w:sz="0" w:space="0" w:color="auto"/>
            <w:bottom w:val="none" w:sz="0" w:space="0" w:color="auto"/>
            <w:right w:val="none" w:sz="0" w:space="0" w:color="auto"/>
          </w:divBdr>
          <w:divsChild>
            <w:div w:id="491986577">
              <w:marLeft w:val="0"/>
              <w:marRight w:val="0"/>
              <w:marTop w:val="0"/>
              <w:marBottom w:val="0"/>
              <w:divBdr>
                <w:top w:val="none" w:sz="0" w:space="0" w:color="auto"/>
                <w:left w:val="none" w:sz="0" w:space="0" w:color="auto"/>
                <w:bottom w:val="none" w:sz="0" w:space="0" w:color="auto"/>
                <w:right w:val="none" w:sz="0" w:space="0" w:color="auto"/>
              </w:divBdr>
              <w:divsChild>
                <w:div w:id="11453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10274">
      <w:bodyDiv w:val="1"/>
      <w:marLeft w:val="0"/>
      <w:marRight w:val="0"/>
      <w:marTop w:val="0"/>
      <w:marBottom w:val="0"/>
      <w:divBdr>
        <w:top w:val="none" w:sz="0" w:space="0" w:color="auto"/>
        <w:left w:val="none" w:sz="0" w:space="0" w:color="auto"/>
        <w:bottom w:val="none" w:sz="0" w:space="0" w:color="auto"/>
        <w:right w:val="none" w:sz="0" w:space="0" w:color="auto"/>
      </w:divBdr>
      <w:divsChild>
        <w:div w:id="1539854780">
          <w:marLeft w:val="0"/>
          <w:marRight w:val="0"/>
          <w:marTop w:val="0"/>
          <w:marBottom w:val="0"/>
          <w:divBdr>
            <w:top w:val="none" w:sz="0" w:space="0" w:color="auto"/>
            <w:left w:val="none" w:sz="0" w:space="0" w:color="auto"/>
            <w:bottom w:val="none" w:sz="0" w:space="0" w:color="auto"/>
            <w:right w:val="none" w:sz="0" w:space="0" w:color="auto"/>
          </w:divBdr>
          <w:divsChild>
            <w:div w:id="459223042">
              <w:marLeft w:val="0"/>
              <w:marRight w:val="0"/>
              <w:marTop w:val="0"/>
              <w:marBottom w:val="0"/>
              <w:divBdr>
                <w:top w:val="none" w:sz="0" w:space="0" w:color="auto"/>
                <w:left w:val="none" w:sz="0" w:space="0" w:color="auto"/>
                <w:bottom w:val="none" w:sz="0" w:space="0" w:color="auto"/>
                <w:right w:val="none" w:sz="0" w:space="0" w:color="auto"/>
              </w:divBdr>
              <w:divsChild>
                <w:div w:id="15828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5045">
      <w:bodyDiv w:val="1"/>
      <w:marLeft w:val="0"/>
      <w:marRight w:val="0"/>
      <w:marTop w:val="0"/>
      <w:marBottom w:val="0"/>
      <w:divBdr>
        <w:top w:val="none" w:sz="0" w:space="0" w:color="auto"/>
        <w:left w:val="none" w:sz="0" w:space="0" w:color="auto"/>
        <w:bottom w:val="none" w:sz="0" w:space="0" w:color="auto"/>
        <w:right w:val="none" w:sz="0" w:space="0" w:color="auto"/>
      </w:divBdr>
    </w:div>
    <w:div w:id="1030451859">
      <w:bodyDiv w:val="1"/>
      <w:marLeft w:val="0"/>
      <w:marRight w:val="0"/>
      <w:marTop w:val="0"/>
      <w:marBottom w:val="0"/>
      <w:divBdr>
        <w:top w:val="none" w:sz="0" w:space="0" w:color="auto"/>
        <w:left w:val="none" w:sz="0" w:space="0" w:color="auto"/>
        <w:bottom w:val="none" w:sz="0" w:space="0" w:color="auto"/>
        <w:right w:val="none" w:sz="0" w:space="0" w:color="auto"/>
      </w:divBdr>
      <w:divsChild>
        <w:div w:id="1304583183">
          <w:marLeft w:val="0"/>
          <w:marRight w:val="0"/>
          <w:marTop w:val="0"/>
          <w:marBottom w:val="0"/>
          <w:divBdr>
            <w:top w:val="none" w:sz="0" w:space="0" w:color="auto"/>
            <w:left w:val="none" w:sz="0" w:space="0" w:color="auto"/>
            <w:bottom w:val="none" w:sz="0" w:space="0" w:color="auto"/>
            <w:right w:val="none" w:sz="0" w:space="0" w:color="auto"/>
          </w:divBdr>
          <w:divsChild>
            <w:div w:id="1634751349">
              <w:marLeft w:val="0"/>
              <w:marRight w:val="0"/>
              <w:marTop w:val="0"/>
              <w:marBottom w:val="0"/>
              <w:divBdr>
                <w:top w:val="none" w:sz="0" w:space="0" w:color="auto"/>
                <w:left w:val="none" w:sz="0" w:space="0" w:color="auto"/>
                <w:bottom w:val="none" w:sz="0" w:space="0" w:color="auto"/>
                <w:right w:val="none" w:sz="0" w:space="0" w:color="auto"/>
              </w:divBdr>
              <w:divsChild>
                <w:div w:id="781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79587">
      <w:bodyDiv w:val="1"/>
      <w:marLeft w:val="0"/>
      <w:marRight w:val="0"/>
      <w:marTop w:val="0"/>
      <w:marBottom w:val="0"/>
      <w:divBdr>
        <w:top w:val="none" w:sz="0" w:space="0" w:color="auto"/>
        <w:left w:val="none" w:sz="0" w:space="0" w:color="auto"/>
        <w:bottom w:val="none" w:sz="0" w:space="0" w:color="auto"/>
        <w:right w:val="none" w:sz="0" w:space="0" w:color="auto"/>
      </w:divBdr>
      <w:divsChild>
        <w:div w:id="2059278953">
          <w:marLeft w:val="0"/>
          <w:marRight w:val="0"/>
          <w:marTop w:val="0"/>
          <w:marBottom w:val="0"/>
          <w:divBdr>
            <w:top w:val="none" w:sz="0" w:space="0" w:color="auto"/>
            <w:left w:val="none" w:sz="0" w:space="0" w:color="auto"/>
            <w:bottom w:val="none" w:sz="0" w:space="0" w:color="auto"/>
            <w:right w:val="none" w:sz="0" w:space="0" w:color="auto"/>
          </w:divBdr>
          <w:divsChild>
            <w:div w:id="1385325011">
              <w:marLeft w:val="0"/>
              <w:marRight w:val="0"/>
              <w:marTop w:val="0"/>
              <w:marBottom w:val="0"/>
              <w:divBdr>
                <w:top w:val="none" w:sz="0" w:space="0" w:color="auto"/>
                <w:left w:val="none" w:sz="0" w:space="0" w:color="auto"/>
                <w:bottom w:val="none" w:sz="0" w:space="0" w:color="auto"/>
                <w:right w:val="none" w:sz="0" w:space="0" w:color="auto"/>
              </w:divBdr>
              <w:divsChild>
                <w:div w:id="14608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2637">
      <w:bodyDiv w:val="1"/>
      <w:marLeft w:val="0"/>
      <w:marRight w:val="0"/>
      <w:marTop w:val="0"/>
      <w:marBottom w:val="0"/>
      <w:divBdr>
        <w:top w:val="none" w:sz="0" w:space="0" w:color="auto"/>
        <w:left w:val="none" w:sz="0" w:space="0" w:color="auto"/>
        <w:bottom w:val="none" w:sz="0" w:space="0" w:color="auto"/>
        <w:right w:val="none" w:sz="0" w:space="0" w:color="auto"/>
      </w:divBdr>
      <w:divsChild>
        <w:div w:id="163131941">
          <w:marLeft w:val="0"/>
          <w:marRight w:val="0"/>
          <w:marTop w:val="0"/>
          <w:marBottom w:val="0"/>
          <w:divBdr>
            <w:top w:val="none" w:sz="0" w:space="0" w:color="auto"/>
            <w:left w:val="none" w:sz="0" w:space="0" w:color="auto"/>
            <w:bottom w:val="none" w:sz="0" w:space="0" w:color="auto"/>
            <w:right w:val="none" w:sz="0" w:space="0" w:color="auto"/>
          </w:divBdr>
          <w:divsChild>
            <w:div w:id="1554463485">
              <w:marLeft w:val="0"/>
              <w:marRight w:val="0"/>
              <w:marTop w:val="0"/>
              <w:marBottom w:val="0"/>
              <w:divBdr>
                <w:top w:val="none" w:sz="0" w:space="0" w:color="auto"/>
                <w:left w:val="none" w:sz="0" w:space="0" w:color="auto"/>
                <w:bottom w:val="none" w:sz="0" w:space="0" w:color="auto"/>
                <w:right w:val="none" w:sz="0" w:space="0" w:color="auto"/>
              </w:divBdr>
              <w:divsChild>
                <w:div w:id="5661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5455">
      <w:bodyDiv w:val="1"/>
      <w:marLeft w:val="0"/>
      <w:marRight w:val="0"/>
      <w:marTop w:val="0"/>
      <w:marBottom w:val="0"/>
      <w:divBdr>
        <w:top w:val="none" w:sz="0" w:space="0" w:color="auto"/>
        <w:left w:val="none" w:sz="0" w:space="0" w:color="auto"/>
        <w:bottom w:val="none" w:sz="0" w:space="0" w:color="auto"/>
        <w:right w:val="none" w:sz="0" w:space="0" w:color="auto"/>
      </w:divBdr>
      <w:divsChild>
        <w:div w:id="1391928354">
          <w:marLeft w:val="0"/>
          <w:marRight w:val="0"/>
          <w:marTop w:val="0"/>
          <w:marBottom w:val="0"/>
          <w:divBdr>
            <w:top w:val="none" w:sz="0" w:space="0" w:color="auto"/>
            <w:left w:val="none" w:sz="0" w:space="0" w:color="auto"/>
            <w:bottom w:val="none" w:sz="0" w:space="0" w:color="auto"/>
            <w:right w:val="none" w:sz="0" w:space="0" w:color="auto"/>
          </w:divBdr>
          <w:divsChild>
            <w:div w:id="1358658164">
              <w:marLeft w:val="0"/>
              <w:marRight w:val="0"/>
              <w:marTop w:val="0"/>
              <w:marBottom w:val="0"/>
              <w:divBdr>
                <w:top w:val="none" w:sz="0" w:space="0" w:color="auto"/>
                <w:left w:val="none" w:sz="0" w:space="0" w:color="auto"/>
                <w:bottom w:val="none" w:sz="0" w:space="0" w:color="auto"/>
                <w:right w:val="none" w:sz="0" w:space="0" w:color="auto"/>
              </w:divBdr>
              <w:divsChild>
                <w:div w:id="20111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776">
      <w:bodyDiv w:val="1"/>
      <w:marLeft w:val="0"/>
      <w:marRight w:val="0"/>
      <w:marTop w:val="0"/>
      <w:marBottom w:val="0"/>
      <w:divBdr>
        <w:top w:val="none" w:sz="0" w:space="0" w:color="auto"/>
        <w:left w:val="none" w:sz="0" w:space="0" w:color="auto"/>
        <w:bottom w:val="none" w:sz="0" w:space="0" w:color="auto"/>
        <w:right w:val="none" w:sz="0" w:space="0" w:color="auto"/>
      </w:divBdr>
      <w:divsChild>
        <w:div w:id="1582522897">
          <w:marLeft w:val="0"/>
          <w:marRight w:val="0"/>
          <w:marTop w:val="0"/>
          <w:marBottom w:val="0"/>
          <w:divBdr>
            <w:top w:val="none" w:sz="0" w:space="0" w:color="auto"/>
            <w:left w:val="none" w:sz="0" w:space="0" w:color="auto"/>
            <w:bottom w:val="none" w:sz="0" w:space="0" w:color="auto"/>
            <w:right w:val="none" w:sz="0" w:space="0" w:color="auto"/>
          </w:divBdr>
          <w:divsChild>
            <w:div w:id="1797138834">
              <w:marLeft w:val="0"/>
              <w:marRight w:val="0"/>
              <w:marTop w:val="0"/>
              <w:marBottom w:val="0"/>
              <w:divBdr>
                <w:top w:val="none" w:sz="0" w:space="0" w:color="auto"/>
                <w:left w:val="none" w:sz="0" w:space="0" w:color="auto"/>
                <w:bottom w:val="none" w:sz="0" w:space="0" w:color="auto"/>
                <w:right w:val="none" w:sz="0" w:space="0" w:color="auto"/>
              </w:divBdr>
              <w:divsChild>
                <w:div w:id="6985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93977">
      <w:bodyDiv w:val="1"/>
      <w:marLeft w:val="0"/>
      <w:marRight w:val="0"/>
      <w:marTop w:val="0"/>
      <w:marBottom w:val="0"/>
      <w:divBdr>
        <w:top w:val="none" w:sz="0" w:space="0" w:color="auto"/>
        <w:left w:val="none" w:sz="0" w:space="0" w:color="auto"/>
        <w:bottom w:val="none" w:sz="0" w:space="0" w:color="auto"/>
        <w:right w:val="none" w:sz="0" w:space="0" w:color="auto"/>
      </w:divBdr>
      <w:divsChild>
        <w:div w:id="659043170">
          <w:marLeft w:val="0"/>
          <w:marRight w:val="0"/>
          <w:marTop w:val="0"/>
          <w:marBottom w:val="0"/>
          <w:divBdr>
            <w:top w:val="none" w:sz="0" w:space="0" w:color="auto"/>
            <w:left w:val="none" w:sz="0" w:space="0" w:color="auto"/>
            <w:bottom w:val="none" w:sz="0" w:space="0" w:color="auto"/>
            <w:right w:val="none" w:sz="0" w:space="0" w:color="auto"/>
          </w:divBdr>
          <w:divsChild>
            <w:div w:id="1576089274">
              <w:marLeft w:val="0"/>
              <w:marRight w:val="0"/>
              <w:marTop w:val="0"/>
              <w:marBottom w:val="0"/>
              <w:divBdr>
                <w:top w:val="none" w:sz="0" w:space="0" w:color="auto"/>
                <w:left w:val="none" w:sz="0" w:space="0" w:color="auto"/>
                <w:bottom w:val="none" w:sz="0" w:space="0" w:color="auto"/>
                <w:right w:val="none" w:sz="0" w:space="0" w:color="auto"/>
              </w:divBdr>
              <w:divsChild>
                <w:div w:id="7974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77777">
      <w:bodyDiv w:val="1"/>
      <w:marLeft w:val="0"/>
      <w:marRight w:val="0"/>
      <w:marTop w:val="0"/>
      <w:marBottom w:val="0"/>
      <w:divBdr>
        <w:top w:val="none" w:sz="0" w:space="0" w:color="auto"/>
        <w:left w:val="none" w:sz="0" w:space="0" w:color="auto"/>
        <w:bottom w:val="none" w:sz="0" w:space="0" w:color="auto"/>
        <w:right w:val="none" w:sz="0" w:space="0" w:color="auto"/>
      </w:divBdr>
      <w:divsChild>
        <w:div w:id="1699356002">
          <w:marLeft w:val="0"/>
          <w:marRight w:val="0"/>
          <w:marTop w:val="0"/>
          <w:marBottom w:val="0"/>
          <w:divBdr>
            <w:top w:val="none" w:sz="0" w:space="0" w:color="auto"/>
            <w:left w:val="none" w:sz="0" w:space="0" w:color="auto"/>
            <w:bottom w:val="none" w:sz="0" w:space="0" w:color="auto"/>
            <w:right w:val="none" w:sz="0" w:space="0" w:color="auto"/>
          </w:divBdr>
          <w:divsChild>
            <w:div w:id="1249772513">
              <w:marLeft w:val="0"/>
              <w:marRight w:val="0"/>
              <w:marTop w:val="0"/>
              <w:marBottom w:val="0"/>
              <w:divBdr>
                <w:top w:val="none" w:sz="0" w:space="0" w:color="auto"/>
                <w:left w:val="none" w:sz="0" w:space="0" w:color="auto"/>
                <w:bottom w:val="none" w:sz="0" w:space="0" w:color="auto"/>
                <w:right w:val="none" w:sz="0" w:space="0" w:color="auto"/>
              </w:divBdr>
              <w:divsChild>
                <w:div w:id="10876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6765">
      <w:bodyDiv w:val="1"/>
      <w:marLeft w:val="0"/>
      <w:marRight w:val="0"/>
      <w:marTop w:val="0"/>
      <w:marBottom w:val="0"/>
      <w:divBdr>
        <w:top w:val="none" w:sz="0" w:space="0" w:color="auto"/>
        <w:left w:val="none" w:sz="0" w:space="0" w:color="auto"/>
        <w:bottom w:val="none" w:sz="0" w:space="0" w:color="auto"/>
        <w:right w:val="none" w:sz="0" w:space="0" w:color="auto"/>
      </w:divBdr>
      <w:divsChild>
        <w:div w:id="1591045327">
          <w:marLeft w:val="0"/>
          <w:marRight w:val="0"/>
          <w:marTop w:val="0"/>
          <w:marBottom w:val="0"/>
          <w:divBdr>
            <w:top w:val="none" w:sz="0" w:space="0" w:color="auto"/>
            <w:left w:val="none" w:sz="0" w:space="0" w:color="auto"/>
            <w:bottom w:val="none" w:sz="0" w:space="0" w:color="auto"/>
            <w:right w:val="none" w:sz="0" w:space="0" w:color="auto"/>
          </w:divBdr>
          <w:divsChild>
            <w:div w:id="1005665497">
              <w:marLeft w:val="0"/>
              <w:marRight w:val="0"/>
              <w:marTop w:val="0"/>
              <w:marBottom w:val="0"/>
              <w:divBdr>
                <w:top w:val="none" w:sz="0" w:space="0" w:color="auto"/>
                <w:left w:val="none" w:sz="0" w:space="0" w:color="auto"/>
                <w:bottom w:val="none" w:sz="0" w:space="0" w:color="auto"/>
                <w:right w:val="none" w:sz="0" w:space="0" w:color="auto"/>
              </w:divBdr>
              <w:divsChild>
                <w:div w:id="548882018">
                  <w:marLeft w:val="0"/>
                  <w:marRight w:val="0"/>
                  <w:marTop w:val="0"/>
                  <w:marBottom w:val="0"/>
                  <w:divBdr>
                    <w:top w:val="none" w:sz="0" w:space="0" w:color="auto"/>
                    <w:left w:val="none" w:sz="0" w:space="0" w:color="auto"/>
                    <w:bottom w:val="none" w:sz="0" w:space="0" w:color="auto"/>
                    <w:right w:val="none" w:sz="0" w:space="0" w:color="auto"/>
                  </w:divBdr>
                </w:div>
              </w:divsChild>
            </w:div>
            <w:div w:id="1194538807">
              <w:marLeft w:val="0"/>
              <w:marRight w:val="0"/>
              <w:marTop w:val="0"/>
              <w:marBottom w:val="0"/>
              <w:divBdr>
                <w:top w:val="none" w:sz="0" w:space="0" w:color="auto"/>
                <w:left w:val="none" w:sz="0" w:space="0" w:color="auto"/>
                <w:bottom w:val="none" w:sz="0" w:space="0" w:color="auto"/>
                <w:right w:val="none" w:sz="0" w:space="0" w:color="auto"/>
              </w:divBdr>
              <w:divsChild>
                <w:div w:id="18060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5364">
          <w:marLeft w:val="0"/>
          <w:marRight w:val="0"/>
          <w:marTop w:val="0"/>
          <w:marBottom w:val="0"/>
          <w:divBdr>
            <w:top w:val="none" w:sz="0" w:space="0" w:color="auto"/>
            <w:left w:val="none" w:sz="0" w:space="0" w:color="auto"/>
            <w:bottom w:val="none" w:sz="0" w:space="0" w:color="auto"/>
            <w:right w:val="none" w:sz="0" w:space="0" w:color="auto"/>
          </w:divBdr>
          <w:divsChild>
            <w:div w:id="196547900">
              <w:marLeft w:val="0"/>
              <w:marRight w:val="0"/>
              <w:marTop w:val="0"/>
              <w:marBottom w:val="0"/>
              <w:divBdr>
                <w:top w:val="none" w:sz="0" w:space="0" w:color="auto"/>
                <w:left w:val="none" w:sz="0" w:space="0" w:color="auto"/>
                <w:bottom w:val="none" w:sz="0" w:space="0" w:color="auto"/>
                <w:right w:val="none" w:sz="0" w:space="0" w:color="auto"/>
              </w:divBdr>
              <w:divsChild>
                <w:div w:id="18465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3506">
      <w:bodyDiv w:val="1"/>
      <w:marLeft w:val="0"/>
      <w:marRight w:val="0"/>
      <w:marTop w:val="0"/>
      <w:marBottom w:val="0"/>
      <w:divBdr>
        <w:top w:val="none" w:sz="0" w:space="0" w:color="auto"/>
        <w:left w:val="none" w:sz="0" w:space="0" w:color="auto"/>
        <w:bottom w:val="none" w:sz="0" w:space="0" w:color="auto"/>
        <w:right w:val="none" w:sz="0" w:space="0" w:color="auto"/>
      </w:divBdr>
      <w:divsChild>
        <w:div w:id="56518304">
          <w:marLeft w:val="0"/>
          <w:marRight w:val="0"/>
          <w:marTop w:val="0"/>
          <w:marBottom w:val="0"/>
          <w:divBdr>
            <w:top w:val="none" w:sz="0" w:space="0" w:color="auto"/>
            <w:left w:val="none" w:sz="0" w:space="0" w:color="auto"/>
            <w:bottom w:val="none" w:sz="0" w:space="0" w:color="auto"/>
            <w:right w:val="none" w:sz="0" w:space="0" w:color="auto"/>
          </w:divBdr>
          <w:divsChild>
            <w:div w:id="1549949855">
              <w:marLeft w:val="0"/>
              <w:marRight w:val="0"/>
              <w:marTop w:val="0"/>
              <w:marBottom w:val="0"/>
              <w:divBdr>
                <w:top w:val="none" w:sz="0" w:space="0" w:color="auto"/>
                <w:left w:val="none" w:sz="0" w:space="0" w:color="auto"/>
                <w:bottom w:val="none" w:sz="0" w:space="0" w:color="auto"/>
                <w:right w:val="none" w:sz="0" w:space="0" w:color="auto"/>
              </w:divBdr>
              <w:divsChild>
                <w:div w:id="11354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4184">
      <w:bodyDiv w:val="1"/>
      <w:marLeft w:val="0"/>
      <w:marRight w:val="0"/>
      <w:marTop w:val="0"/>
      <w:marBottom w:val="0"/>
      <w:divBdr>
        <w:top w:val="none" w:sz="0" w:space="0" w:color="auto"/>
        <w:left w:val="none" w:sz="0" w:space="0" w:color="auto"/>
        <w:bottom w:val="none" w:sz="0" w:space="0" w:color="auto"/>
        <w:right w:val="none" w:sz="0" w:space="0" w:color="auto"/>
      </w:divBdr>
      <w:divsChild>
        <w:div w:id="1108547364">
          <w:marLeft w:val="0"/>
          <w:marRight w:val="0"/>
          <w:marTop w:val="0"/>
          <w:marBottom w:val="0"/>
          <w:divBdr>
            <w:top w:val="none" w:sz="0" w:space="0" w:color="auto"/>
            <w:left w:val="none" w:sz="0" w:space="0" w:color="auto"/>
            <w:bottom w:val="none" w:sz="0" w:space="0" w:color="auto"/>
            <w:right w:val="none" w:sz="0" w:space="0" w:color="auto"/>
          </w:divBdr>
          <w:divsChild>
            <w:div w:id="1316181156">
              <w:marLeft w:val="0"/>
              <w:marRight w:val="0"/>
              <w:marTop w:val="0"/>
              <w:marBottom w:val="0"/>
              <w:divBdr>
                <w:top w:val="none" w:sz="0" w:space="0" w:color="auto"/>
                <w:left w:val="none" w:sz="0" w:space="0" w:color="auto"/>
                <w:bottom w:val="none" w:sz="0" w:space="0" w:color="auto"/>
                <w:right w:val="none" w:sz="0" w:space="0" w:color="auto"/>
              </w:divBdr>
              <w:divsChild>
                <w:div w:id="8304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89627">
      <w:bodyDiv w:val="1"/>
      <w:marLeft w:val="0"/>
      <w:marRight w:val="0"/>
      <w:marTop w:val="0"/>
      <w:marBottom w:val="0"/>
      <w:divBdr>
        <w:top w:val="none" w:sz="0" w:space="0" w:color="auto"/>
        <w:left w:val="none" w:sz="0" w:space="0" w:color="auto"/>
        <w:bottom w:val="none" w:sz="0" w:space="0" w:color="auto"/>
        <w:right w:val="none" w:sz="0" w:space="0" w:color="auto"/>
      </w:divBdr>
      <w:divsChild>
        <w:div w:id="1212303804">
          <w:marLeft w:val="0"/>
          <w:marRight w:val="0"/>
          <w:marTop w:val="0"/>
          <w:marBottom w:val="0"/>
          <w:divBdr>
            <w:top w:val="none" w:sz="0" w:space="0" w:color="auto"/>
            <w:left w:val="none" w:sz="0" w:space="0" w:color="auto"/>
            <w:bottom w:val="none" w:sz="0" w:space="0" w:color="auto"/>
            <w:right w:val="none" w:sz="0" w:space="0" w:color="auto"/>
          </w:divBdr>
          <w:divsChild>
            <w:div w:id="1291284526">
              <w:marLeft w:val="0"/>
              <w:marRight w:val="0"/>
              <w:marTop w:val="0"/>
              <w:marBottom w:val="0"/>
              <w:divBdr>
                <w:top w:val="none" w:sz="0" w:space="0" w:color="auto"/>
                <w:left w:val="none" w:sz="0" w:space="0" w:color="auto"/>
                <w:bottom w:val="none" w:sz="0" w:space="0" w:color="auto"/>
                <w:right w:val="none" w:sz="0" w:space="0" w:color="auto"/>
              </w:divBdr>
              <w:divsChild>
                <w:div w:id="16557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5712">
      <w:bodyDiv w:val="1"/>
      <w:marLeft w:val="0"/>
      <w:marRight w:val="0"/>
      <w:marTop w:val="0"/>
      <w:marBottom w:val="0"/>
      <w:divBdr>
        <w:top w:val="none" w:sz="0" w:space="0" w:color="auto"/>
        <w:left w:val="none" w:sz="0" w:space="0" w:color="auto"/>
        <w:bottom w:val="none" w:sz="0" w:space="0" w:color="auto"/>
        <w:right w:val="none" w:sz="0" w:space="0" w:color="auto"/>
      </w:divBdr>
      <w:divsChild>
        <w:div w:id="734205912">
          <w:marLeft w:val="0"/>
          <w:marRight w:val="0"/>
          <w:marTop w:val="0"/>
          <w:marBottom w:val="0"/>
          <w:divBdr>
            <w:top w:val="none" w:sz="0" w:space="0" w:color="auto"/>
            <w:left w:val="none" w:sz="0" w:space="0" w:color="auto"/>
            <w:bottom w:val="none" w:sz="0" w:space="0" w:color="auto"/>
            <w:right w:val="none" w:sz="0" w:space="0" w:color="auto"/>
          </w:divBdr>
          <w:divsChild>
            <w:div w:id="1863014447">
              <w:marLeft w:val="0"/>
              <w:marRight w:val="0"/>
              <w:marTop w:val="0"/>
              <w:marBottom w:val="0"/>
              <w:divBdr>
                <w:top w:val="none" w:sz="0" w:space="0" w:color="auto"/>
                <w:left w:val="none" w:sz="0" w:space="0" w:color="auto"/>
                <w:bottom w:val="none" w:sz="0" w:space="0" w:color="auto"/>
                <w:right w:val="none" w:sz="0" w:space="0" w:color="auto"/>
              </w:divBdr>
              <w:divsChild>
                <w:div w:id="16472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51700">
      <w:bodyDiv w:val="1"/>
      <w:marLeft w:val="0"/>
      <w:marRight w:val="0"/>
      <w:marTop w:val="0"/>
      <w:marBottom w:val="0"/>
      <w:divBdr>
        <w:top w:val="none" w:sz="0" w:space="0" w:color="auto"/>
        <w:left w:val="none" w:sz="0" w:space="0" w:color="auto"/>
        <w:bottom w:val="none" w:sz="0" w:space="0" w:color="auto"/>
        <w:right w:val="none" w:sz="0" w:space="0" w:color="auto"/>
      </w:divBdr>
      <w:divsChild>
        <w:div w:id="1428192677">
          <w:marLeft w:val="0"/>
          <w:marRight w:val="0"/>
          <w:marTop w:val="0"/>
          <w:marBottom w:val="0"/>
          <w:divBdr>
            <w:top w:val="none" w:sz="0" w:space="0" w:color="auto"/>
            <w:left w:val="none" w:sz="0" w:space="0" w:color="auto"/>
            <w:bottom w:val="none" w:sz="0" w:space="0" w:color="auto"/>
            <w:right w:val="none" w:sz="0" w:space="0" w:color="auto"/>
          </w:divBdr>
          <w:divsChild>
            <w:div w:id="1407847243">
              <w:marLeft w:val="0"/>
              <w:marRight w:val="0"/>
              <w:marTop w:val="0"/>
              <w:marBottom w:val="0"/>
              <w:divBdr>
                <w:top w:val="none" w:sz="0" w:space="0" w:color="auto"/>
                <w:left w:val="none" w:sz="0" w:space="0" w:color="auto"/>
                <w:bottom w:val="none" w:sz="0" w:space="0" w:color="auto"/>
                <w:right w:val="none" w:sz="0" w:space="0" w:color="auto"/>
              </w:divBdr>
              <w:divsChild>
                <w:div w:id="9966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6537">
      <w:bodyDiv w:val="1"/>
      <w:marLeft w:val="0"/>
      <w:marRight w:val="0"/>
      <w:marTop w:val="0"/>
      <w:marBottom w:val="0"/>
      <w:divBdr>
        <w:top w:val="none" w:sz="0" w:space="0" w:color="auto"/>
        <w:left w:val="none" w:sz="0" w:space="0" w:color="auto"/>
        <w:bottom w:val="none" w:sz="0" w:space="0" w:color="auto"/>
        <w:right w:val="none" w:sz="0" w:space="0" w:color="auto"/>
      </w:divBdr>
      <w:divsChild>
        <w:div w:id="1562323035">
          <w:marLeft w:val="0"/>
          <w:marRight w:val="0"/>
          <w:marTop w:val="0"/>
          <w:marBottom w:val="0"/>
          <w:divBdr>
            <w:top w:val="none" w:sz="0" w:space="0" w:color="auto"/>
            <w:left w:val="none" w:sz="0" w:space="0" w:color="auto"/>
            <w:bottom w:val="none" w:sz="0" w:space="0" w:color="auto"/>
            <w:right w:val="none" w:sz="0" w:space="0" w:color="auto"/>
          </w:divBdr>
          <w:divsChild>
            <w:div w:id="666833633">
              <w:marLeft w:val="0"/>
              <w:marRight w:val="0"/>
              <w:marTop w:val="0"/>
              <w:marBottom w:val="0"/>
              <w:divBdr>
                <w:top w:val="none" w:sz="0" w:space="0" w:color="auto"/>
                <w:left w:val="none" w:sz="0" w:space="0" w:color="auto"/>
                <w:bottom w:val="none" w:sz="0" w:space="0" w:color="auto"/>
                <w:right w:val="none" w:sz="0" w:space="0" w:color="auto"/>
              </w:divBdr>
              <w:divsChild>
                <w:div w:id="9757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30616313">
          <w:marLeft w:val="0"/>
          <w:marRight w:val="0"/>
          <w:marTop w:val="0"/>
          <w:marBottom w:val="0"/>
          <w:divBdr>
            <w:top w:val="none" w:sz="0" w:space="0" w:color="auto"/>
            <w:left w:val="none" w:sz="0" w:space="0" w:color="auto"/>
            <w:bottom w:val="none" w:sz="0" w:space="0" w:color="auto"/>
            <w:right w:val="none" w:sz="0" w:space="0" w:color="auto"/>
          </w:divBdr>
          <w:divsChild>
            <w:div w:id="245112647">
              <w:marLeft w:val="0"/>
              <w:marRight w:val="0"/>
              <w:marTop w:val="0"/>
              <w:marBottom w:val="0"/>
              <w:divBdr>
                <w:top w:val="none" w:sz="0" w:space="0" w:color="auto"/>
                <w:left w:val="none" w:sz="0" w:space="0" w:color="auto"/>
                <w:bottom w:val="none" w:sz="0" w:space="0" w:color="auto"/>
                <w:right w:val="none" w:sz="0" w:space="0" w:color="auto"/>
              </w:divBdr>
              <w:divsChild>
                <w:div w:id="9834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1789">
      <w:bodyDiv w:val="1"/>
      <w:marLeft w:val="0"/>
      <w:marRight w:val="0"/>
      <w:marTop w:val="0"/>
      <w:marBottom w:val="0"/>
      <w:divBdr>
        <w:top w:val="none" w:sz="0" w:space="0" w:color="auto"/>
        <w:left w:val="none" w:sz="0" w:space="0" w:color="auto"/>
        <w:bottom w:val="none" w:sz="0" w:space="0" w:color="auto"/>
        <w:right w:val="none" w:sz="0" w:space="0" w:color="auto"/>
      </w:divBdr>
      <w:divsChild>
        <w:div w:id="1914464191">
          <w:marLeft w:val="0"/>
          <w:marRight w:val="0"/>
          <w:marTop w:val="0"/>
          <w:marBottom w:val="0"/>
          <w:divBdr>
            <w:top w:val="none" w:sz="0" w:space="0" w:color="auto"/>
            <w:left w:val="none" w:sz="0" w:space="0" w:color="auto"/>
            <w:bottom w:val="none" w:sz="0" w:space="0" w:color="auto"/>
            <w:right w:val="none" w:sz="0" w:space="0" w:color="auto"/>
          </w:divBdr>
          <w:divsChild>
            <w:div w:id="780421828">
              <w:marLeft w:val="0"/>
              <w:marRight w:val="0"/>
              <w:marTop w:val="0"/>
              <w:marBottom w:val="0"/>
              <w:divBdr>
                <w:top w:val="none" w:sz="0" w:space="0" w:color="auto"/>
                <w:left w:val="none" w:sz="0" w:space="0" w:color="auto"/>
                <w:bottom w:val="none" w:sz="0" w:space="0" w:color="auto"/>
                <w:right w:val="none" w:sz="0" w:space="0" w:color="auto"/>
              </w:divBdr>
              <w:divsChild>
                <w:div w:id="2129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1541">
      <w:bodyDiv w:val="1"/>
      <w:marLeft w:val="0"/>
      <w:marRight w:val="0"/>
      <w:marTop w:val="0"/>
      <w:marBottom w:val="0"/>
      <w:divBdr>
        <w:top w:val="none" w:sz="0" w:space="0" w:color="auto"/>
        <w:left w:val="none" w:sz="0" w:space="0" w:color="auto"/>
        <w:bottom w:val="none" w:sz="0" w:space="0" w:color="auto"/>
        <w:right w:val="none" w:sz="0" w:space="0" w:color="auto"/>
      </w:divBdr>
      <w:divsChild>
        <w:div w:id="177620714">
          <w:marLeft w:val="0"/>
          <w:marRight w:val="0"/>
          <w:marTop w:val="0"/>
          <w:marBottom w:val="0"/>
          <w:divBdr>
            <w:top w:val="none" w:sz="0" w:space="0" w:color="auto"/>
            <w:left w:val="none" w:sz="0" w:space="0" w:color="auto"/>
            <w:bottom w:val="none" w:sz="0" w:space="0" w:color="auto"/>
            <w:right w:val="none" w:sz="0" w:space="0" w:color="auto"/>
          </w:divBdr>
          <w:divsChild>
            <w:div w:id="1378430773">
              <w:marLeft w:val="0"/>
              <w:marRight w:val="0"/>
              <w:marTop w:val="0"/>
              <w:marBottom w:val="0"/>
              <w:divBdr>
                <w:top w:val="none" w:sz="0" w:space="0" w:color="auto"/>
                <w:left w:val="none" w:sz="0" w:space="0" w:color="auto"/>
                <w:bottom w:val="none" w:sz="0" w:space="0" w:color="auto"/>
                <w:right w:val="none" w:sz="0" w:space="0" w:color="auto"/>
              </w:divBdr>
              <w:divsChild>
                <w:div w:id="7486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2064">
          <w:marLeft w:val="0"/>
          <w:marRight w:val="0"/>
          <w:marTop w:val="0"/>
          <w:marBottom w:val="0"/>
          <w:divBdr>
            <w:top w:val="none" w:sz="0" w:space="0" w:color="auto"/>
            <w:left w:val="none" w:sz="0" w:space="0" w:color="auto"/>
            <w:bottom w:val="none" w:sz="0" w:space="0" w:color="auto"/>
            <w:right w:val="none" w:sz="0" w:space="0" w:color="auto"/>
          </w:divBdr>
          <w:divsChild>
            <w:div w:id="1630670082">
              <w:marLeft w:val="0"/>
              <w:marRight w:val="0"/>
              <w:marTop w:val="0"/>
              <w:marBottom w:val="0"/>
              <w:divBdr>
                <w:top w:val="none" w:sz="0" w:space="0" w:color="auto"/>
                <w:left w:val="none" w:sz="0" w:space="0" w:color="auto"/>
                <w:bottom w:val="none" w:sz="0" w:space="0" w:color="auto"/>
                <w:right w:val="none" w:sz="0" w:space="0" w:color="auto"/>
              </w:divBdr>
              <w:divsChild>
                <w:div w:id="3409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77082">
      <w:bodyDiv w:val="1"/>
      <w:marLeft w:val="0"/>
      <w:marRight w:val="0"/>
      <w:marTop w:val="0"/>
      <w:marBottom w:val="0"/>
      <w:divBdr>
        <w:top w:val="none" w:sz="0" w:space="0" w:color="auto"/>
        <w:left w:val="none" w:sz="0" w:space="0" w:color="auto"/>
        <w:bottom w:val="none" w:sz="0" w:space="0" w:color="auto"/>
        <w:right w:val="none" w:sz="0" w:space="0" w:color="auto"/>
      </w:divBdr>
      <w:divsChild>
        <w:div w:id="1451896108">
          <w:marLeft w:val="0"/>
          <w:marRight w:val="0"/>
          <w:marTop w:val="0"/>
          <w:marBottom w:val="0"/>
          <w:divBdr>
            <w:top w:val="none" w:sz="0" w:space="0" w:color="auto"/>
            <w:left w:val="none" w:sz="0" w:space="0" w:color="auto"/>
            <w:bottom w:val="none" w:sz="0" w:space="0" w:color="auto"/>
            <w:right w:val="none" w:sz="0" w:space="0" w:color="auto"/>
          </w:divBdr>
          <w:divsChild>
            <w:div w:id="30545423">
              <w:marLeft w:val="0"/>
              <w:marRight w:val="0"/>
              <w:marTop w:val="0"/>
              <w:marBottom w:val="0"/>
              <w:divBdr>
                <w:top w:val="none" w:sz="0" w:space="0" w:color="auto"/>
                <w:left w:val="none" w:sz="0" w:space="0" w:color="auto"/>
                <w:bottom w:val="none" w:sz="0" w:space="0" w:color="auto"/>
                <w:right w:val="none" w:sz="0" w:space="0" w:color="auto"/>
              </w:divBdr>
              <w:divsChild>
                <w:div w:id="1866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1444">
          <w:marLeft w:val="0"/>
          <w:marRight w:val="0"/>
          <w:marTop w:val="0"/>
          <w:marBottom w:val="0"/>
          <w:divBdr>
            <w:top w:val="none" w:sz="0" w:space="0" w:color="auto"/>
            <w:left w:val="none" w:sz="0" w:space="0" w:color="auto"/>
            <w:bottom w:val="none" w:sz="0" w:space="0" w:color="auto"/>
            <w:right w:val="none" w:sz="0" w:space="0" w:color="auto"/>
          </w:divBdr>
          <w:divsChild>
            <w:div w:id="285544480">
              <w:marLeft w:val="0"/>
              <w:marRight w:val="0"/>
              <w:marTop w:val="0"/>
              <w:marBottom w:val="0"/>
              <w:divBdr>
                <w:top w:val="none" w:sz="0" w:space="0" w:color="auto"/>
                <w:left w:val="none" w:sz="0" w:space="0" w:color="auto"/>
                <w:bottom w:val="none" w:sz="0" w:space="0" w:color="auto"/>
                <w:right w:val="none" w:sz="0" w:space="0" w:color="auto"/>
              </w:divBdr>
              <w:divsChild>
                <w:div w:id="20714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3414">
      <w:bodyDiv w:val="1"/>
      <w:marLeft w:val="0"/>
      <w:marRight w:val="0"/>
      <w:marTop w:val="0"/>
      <w:marBottom w:val="0"/>
      <w:divBdr>
        <w:top w:val="none" w:sz="0" w:space="0" w:color="auto"/>
        <w:left w:val="none" w:sz="0" w:space="0" w:color="auto"/>
        <w:bottom w:val="none" w:sz="0" w:space="0" w:color="auto"/>
        <w:right w:val="none" w:sz="0" w:space="0" w:color="auto"/>
      </w:divBdr>
      <w:divsChild>
        <w:div w:id="698509788">
          <w:marLeft w:val="0"/>
          <w:marRight w:val="0"/>
          <w:marTop w:val="0"/>
          <w:marBottom w:val="0"/>
          <w:divBdr>
            <w:top w:val="none" w:sz="0" w:space="0" w:color="auto"/>
            <w:left w:val="none" w:sz="0" w:space="0" w:color="auto"/>
            <w:bottom w:val="none" w:sz="0" w:space="0" w:color="auto"/>
            <w:right w:val="none" w:sz="0" w:space="0" w:color="auto"/>
          </w:divBdr>
          <w:divsChild>
            <w:div w:id="1914581854">
              <w:marLeft w:val="0"/>
              <w:marRight w:val="0"/>
              <w:marTop w:val="0"/>
              <w:marBottom w:val="0"/>
              <w:divBdr>
                <w:top w:val="none" w:sz="0" w:space="0" w:color="auto"/>
                <w:left w:val="none" w:sz="0" w:space="0" w:color="auto"/>
                <w:bottom w:val="none" w:sz="0" w:space="0" w:color="auto"/>
                <w:right w:val="none" w:sz="0" w:space="0" w:color="auto"/>
              </w:divBdr>
              <w:divsChild>
                <w:div w:id="7395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44126">
      <w:bodyDiv w:val="1"/>
      <w:marLeft w:val="0"/>
      <w:marRight w:val="0"/>
      <w:marTop w:val="0"/>
      <w:marBottom w:val="0"/>
      <w:divBdr>
        <w:top w:val="none" w:sz="0" w:space="0" w:color="auto"/>
        <w:left w:val="none" w:sz="0" w:space="0" w:color="auto"/>
        <w:bottom w:val="none" w:sz="0" w:space="0" w:color="auto"/>
        <w:right w:val="none" w:sz="0" w:space="0" w:color="auto"/>
      </w:divBdr>
      <w:divsChild>
        <w:div w:id="28646677">
          <w:marLeft w:val="0"/>
          <w:marRight w:val="0"/>
          <w:marTop w:val="0"/>
          <w:marBottom w:val="0"/>
          <w:divBdr>
            <w:top w:val="none" w:sz="0" w:space="0" w:color="auto"/>
            <w:left w:val="none" w:sz="0" w:space="0" w:color="auto"/>
            <w:bottom w:val="none" w:sz="0" w:space="0" w:color="auto"/>
            <w:right w:val="none" w:sz="0" w:space="0" w:color="auto"/>
          </w:divBdr>
          <w:divsChild>
            <w:div w:id="380642570">
              <w:marLeft w:val="0"/>
              <w:marRight w:val="0"/>
              <w:marTop w:val="0"/>
              <w:marBottom w:val="0"/>
              <w:divBdr>
                <w:top w:val="none" w:sz="0" w:space="0" w:color="auto"/>
                <w:left w:val="none" w:sz="0" w:space="0" w:color="auto"/>
                <w:bottom w:val="none" w:sz="0" w:space="0" w:color="auto"/>
                <w:right w:val="none" w:sz="0" w:space="0" w:color="auto"/>
              </w:divBdr>
              <w:divsChild>
                <w:div w:id="7675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4168">
      <w:bodyDiv w:val="1"/>
      <w:marLeft w:val="0"/>
      <w:marRight w:val="0"/>
      <w:marTop w:val="0"/>
      <w:marBottom w:val="0"/>
      <w:divBdr>
        <w:top w:val="none" w:sz="0" w:space="0" w:color="auto"/>
        <w:left w:val="none" w:sz="0" w:space="0" w:color="auto"/>
        <w:bottom w:val="none" w:sz="0" w:space="0" w:color="auto"/>
        <w:right w:val="none" w:sz="0" w:space="0" w:color="auto"/>
      </w:divBdr>
    </w:div>
    <w:div w:id="1140879836">
      <w:bodyDiv w:val="1"/>
      <w:marLeft w:val="0"/>
      <w:marRight w:val="0"/>
      <w:marTop w:val="0"/>
      <w:marBottom w:val="0"/>
      <w:divBdr>
        <w:top w:val="none" w:sz="0" w:space="0" w:color="auto"/>
        <w:left w:val="none" w:sz="0" w:space="0" w:color="auto"/>
        <w:bottom w:val="none" w:sz="0" w:space="0" w:color="auto"/>
        <w:right w:val="none" w:sz="0" w:space="0" w:color="auto"/>
      </w:divBdr>
      <w:divsChild>
        <w:div w:id="241913623">
          <w:marLeft w:val="0"/>
          <w:marRight w:val="0"/>
          <w:marTop w:val="0"/>
          <w:marBottom w:val="0"/>
          <w:divBdr>
            <w:top w:val="none" w:sz="0" w:space="0" w:color="auto"/>
            <w:left w:val="none" w:sz="0" w:space="0" w:color="auto"/>
            <w:bottom w:val="none" w:sz="0" w:space="0" w:color="auto"/>
            <w:right w:val="none" w:sz="0" w:space="0" w:color="auto"/>
          </w:divBdr>
          <w:divsChild>
            <w:div w:id="2028822271">
              <w:marLeft w:val="0"/>
              <w:marRight w:val="0"/>
              <w:marTop w:val="0"/>
              <w:marBottom w:val="0"/>
              <w:divBdr>
                <w:top w:val="none" w:sz="0" w:space="0" w:color="auto"/>
                <w:left w:val="none" w:sz="0" w:space="0" w:color="auto"/>
                <w:bottom w:val="none" w:sz="0" w:space="0" w:color="auto"/>
                <w:right w:val="none" w:sz="0" w:space="0" w:color="auto"/>
              </w:divBdr>
              <w:divsChild>
                <w:div w:id="15869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50116">
      <w:bodyDiv w:val="1"/>
      <w:marLeft w:val="0"/>
      <w:marRight w:val="0"/>
      <w:marTop w:val="0"/>
      <w:marBottom w:val="0"/>
      <w:divBdr>
        <w:top w:val="none" w:sz="0" w:space="0" w:color="auto"/>
        <w:left w:val="none" w:sz="0" w:space="0" w:color="auto"/>
        <w:bottom w:val="none" w:sz="0" w:space="0" w:color="auto"/>
        <w:right w:val="none" w:sz="0" w:space="0" w:color="auto"/>
      </w:divBdr>
      <w:divsChild>
        <w:div w:id="731730594">
          <w:marLeft w:val="0"/>
          <w:marRight w:val="0"/>
          <w:marTop w:val="0"/>
          <w:marBottom w:val="0"/>
          <w:divBdr>
            <w:top w:val="none" w:sz="0" w:space="0" w:color="auto"/>
            <w:left w:val="none" w:sz="0" w:space="0" w:color="auto"/>
            <w:bottom w:val="none" w:sz="0" w:space="0" w:color="auto"/>
            <w:right w:val="none" w:sz="0" w:space="0" w:color="auto"/>
          </w:divBdr>
          <w:divsChild>
            <w:div w:id="1881431885">
              <w:marLeft w:val="0"/>
              <w:marRight w:val="0"/>
              <w:marTop w:val="0"/>
              <w:marBottom w:val="0"/>
              <w:divBdr>
                <w:top w:val="none" w:sz="0" w:space="0" w:color="auto"/>
                <w:left w:val="none" w:sz="0" w:space="0" w:color="auto"/>
                <w:bottom w:val="none" w:sz="0" w:space="0" w:color="auto"/>
                <w:right w:val="none" w:sz="0" w:space="0" w:color="auto"/>
              </w:divBdr>
              <w:divsChild>
                <w:div w:id="1585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8182">
      <w:bodyDiv w:val="1"/>
      <w:marLeft w:val="0"/>
      <w:marRight w:val="0"/>
      <w:marTop w:val="0"/>
      <w:marBottom w:val="0"/>
      <w:divBdr>
        <w:top w:val="none" w:sz="0" w:space="0" w:color="auto"/>
        <w:left w:val="none" w:sz="0" w:space="0" w:color="auto"/>
        <w:bottom w:val="none" w:sz="0" w:space="0" w:color="auto"/>
        <w:right w:val="none" w:sz="0" w:space="0" w:color="auto"/>
      </w:divBdr>
      <w:divsChild>
        <w:div w:id="749498040">
          <w:marLeft w:val="0"/>
          <w:marRight w:val="0"/>
          <w:marTop w:val="0"/>
          <w:marBottom w:val="0"/>
          <w:divBdr>
            <w:top w:val="none" w:sz="0" w:space="0" w:color="auto"/>
            <w:left w:val="none" w:sz="0" w:space="0" w:color="auto"/>
            <w:bottom w:val="none" w:sz="0" w:space="0" w:color="auto"/>
            <w:right w:val="none" w:sz="0" w:space="0" w:color="auto"/>
          </w:divBdr>
          <w:divsChild>
            <w:div w:id="2023848129">
              <w:marLeft w:val="0"/>
              <w:marRight w:val="0"/>
              <w:marTop w:val="0"/>
              <w:marBottom w:val="0"/>
              <w:divBdr>
                <w:top w:val="none" w:sz="0" w:space="0" w:color="auto"/>
                <w:left w:val="none" w:sz="0" w:space="0" w:color="auto"/>
                <w:bottom w:val="none" w:sz="0" w:space="0" w:color="auto"/>
                <w:right w:val="none" w:sz="0" w:space="0" w:color="auto"/>
              </w:divBdr>
              <w:divsChild>
                <w:div w:id="10114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0115">
      <w:bodyDiv w:val="1"/>
      <w:marLeft w:val="0"/>
      <w:marRight w:val="0"/>
      <w:marTop w:val="0"/>
      <w:marBottom w:val="0"/>
      <w:divBdr>
        <w:top w:val="none" w:sz="0" w:space="0" w:color="auto"/>
        <w:left w:val="none" w:sz="0" w:space="0" w:color="auto"/>
        <w:bottom w:val="none" w:sz="0" w:space="0" w:color="auto"/>
        <w:right w:val="none" w:sz="0" w:space="0" w:color="auto"/>
      </w:divBdr>
      <w:divsChild>
        <w:div w:id="1515806178">
          <w:marLeft w:val="0"/>
          <w:marRight w:val="0"/>
          <w:marTop w:val="0"/>
          <w:marBottom w:val="0"/>
          <w:divBdr>
            <w:top w:val="none" w:sz="0" w:space="0" w:color="auto"/>
            <w:left w:val="none" w:sz="0" w:space="0" w:color="auto"/>
            <w:bottom w:val="none" w:sz="0" w:space="0" w:color="auto"/>
            <w:right w:val="none" w:sz="0" w:space="0" w:color="auto"/>
          </w:divBdr>
          <w:divsChild>
            <w:div w:id="2096046745">
              <w:marLeft w:val="0"/>
              <w:marRight w:val="0"/>
              <w:marTop w:val="0"/>
              <w:marBottom w:val="0"/>
              <w:divBdr>
                <w:top w:val="none" w:sz="0" w:space="0" w:color="auto"/>
                <w:left w:val="none" w:sz="0" w:space="0" w:color="auto"/>
                <w:bottom w:val="none" w:sz="0" w:space="0" w:color="auto"/>
                <w:right w:val="none" w:sz="0" w:space="0" w:color="auto"/>
              </w:divBdr>
              <w:divsChild>
                <w:div w:id="10617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9970">
      <w:bodyDiv w:val="1"/>
      <w:marLeft w:val="0"/>
      <w:marRight w:val="0"/>
      <w:marTop w:val="0"/>
      <w:marBottom w:val="0"/>
      <w:divBdr>
        <w:top w:val="none" w:sz="0" w:space="0" w:color="auto"/>
        <w:left w:val="none" w:sz="0" w:space="0" w:color="auto"/>
        <w:bottom w:val="none" w:sz="0" w:space="0" w:color="auto"/>
        <w:right w:val="none" w:sz="0" w:space="0" w:color="auto"/>
      </w:divBdr>
      <w:divsChild>
        <w:div w:id="658920586">
          <w:marLeft w:val="0"/>
          <w:marRight w:val="0"/>
          <w:marTop w:val="0"/>
          <w:marBottom w:val="0"/>
          <w:divBdr>
            <w:top w:val="none" w:sz="0" w:space="0" w:color="auto"/>
            <w:left w:val="none" w:sz="0" w:space="0" w:color="auto"/>
            <w:bottom w:val="none" w:sz="0" w:space="0" w:color="auto"/>
            <w:right w:val="none" w:sz="0" w:space="0" w:color="auto"/>
          </w:divBdr>
          <w:divsChild>
            <w:div w:id="536043104">
              <w:marLeft w:val="0"/>
              <w:marRight w:val="0"/>
              <w:marTop w:val="0"/>
              <w:marBottom w:val="0"/>
              <w:divBdr>
                <w:top w:val="none" w:sz="0" w:space="0" w:color="auto"/>
                <w:left w:val="none" w:sz="0" w:space="0" w:color="auto"/>
                <w:bottom w:val="none" w:sz="0" w:space="0" w:color="auto"/>
                <w:right w:val="none" w:sz="0" w:space="0" w:color="auto"/>
              </w:divBdr>
              <w:divsChild>
                <w:div w:id="15523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4155">
      <w:bodyDiv w:val="1"/>
      <w:marLeft w:val="0"/>
      <w:marRight w:val="0"/>
      <w:marTop w:val="0"/>
      <w:marBottom w:val="0"/>
      <w:divBdr>
        <w:top w:val="none" w:sz="0" w:space="0" w:color="auto"/>
        <w:left w:val="none" w:sz="0" w:space="0" w:color="auto"/>
        <w:bottom w:val="none" w:sz="0" w:space="0" w:color="auto"/>
        <w:right w:val="none" w:sz="0" w:space="0" w:color="auto"/>
      </w:divBdr>
      <w:divsChild>
        <w:div w:id="858734935">
          <w:marLeft w:val="0"/>
          <w:marRight w:val="0"/>
          <w:marTop w:val="0"/>
          <w:marBottom w:val="0"/>
          <w:divBdr>
            <w:top w:val="none" w:sz="0" w:space="0" w:color="auto"/>
            <w:left w:val="none" w:sz="0" w:space="0" w:color="auto"/>
            <w:bottom w:val="none" w:sz="0" w:space="0" w:color="auto"/>
            <w:right w:val="none" w:sz="0" w:space="0" w:color="auto"/>
          </w:divBdr>
          <w:divsChild>
            <w:div w:id="808740329">
              <w:marLeft w:val="0"/>
              <w:marRight w:val="0"/>
              <w:marTop w:val="0"/>
              <w:marBottom w:val="0"/>
              <w:divBdr>
                <w:top w:val="none" w:sz="0" w:space="0" w:color="auto"/>
                <w:left w:val="none" w:sz="0" w:space="0" w:color="auto"/>
                <w:bottom w:val="none" w:sz="0" w:space="0" w:color="auto"/>
                <w:right w:val="none" w:sz="0" w:space="0" w:color="auto"/>
              </w:divBdr>
              <w:divsChild>
                <w:div w:id="2776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92215">
      <w:bodyDiv w:val="1"/>
      <w:marLeft w:val="0"/>
      <w:marRight w:val="0"/>
      <w:marTop w:val="0"/>
      <w:marBottom w:val="0"/>
      <w:divBdr>
        <w:top w:val="none" w:sz="0" w:space="0" w:color="auto"/>
        <w:left w:val="none" w:sz="0" w:space="0" w:color="auto"/>
        <w:bottom w:val="none" w:sz="0" w:space="0" w:color="auto"/>
        <w:right w:val="none" w:sz="0" w:space="0" w:color="auto"/>
      </w:divBdr>
      <w:divsChild>
        <w:div w:id="910967411">
          <w:marLeft w:val="0"/>
          <w:marRight w:val="0"/>
          <w:marTop w:val="0"/>
          <w:marBottom w:val="0"/>
          <w:divBdr>
            <w:top w:val="none" w:sz="0" w:space="0" w:color="auto"/>
            <w:left w:val="none" w:sz="0" w:space="0" w:color="auto"/>
            <w:bottom w:val="none" w:sz="0" w:space="0" w:color="auto"/>
            <w:right w:val="none" w:sz="0" w:space="0" w:color="auto"/>
          </w:divBdr>
          <w:divsChild>
            <w:div w:id="947466215">
              <w:marLeft w:val="0"/>
              <w:marRight w:val="0"/>
              <w:marTop w:val="0"/>
              <w:marBottom w:val="0"/>
              <w:divBdr>
                <w:top w:val="none" w:sz="0" w:space="0" w:color="auto"/>
                <w:left w:val="none" w:sz="0" w:space="0" w:color="auto"/>
                <w:bottom w:val="none" w:sz="0" w:space="0" w:color="auto"/>
                <w:right w:val="none" w:sz="0" w:space="0" w:color="auto"/>
              </w:divBdr>
              <w:divsChild>
                <w:div w:id="19858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40113">
      <w:bodyDiv w:val="1"/>
      <w:marLeft w:val="0"/>
      <w:marRight w:val="0"/>
      <w:marTop w:val="0"/>
      <w:marBottom w:val="0"/>
      <w:divBdr>
        <w:top w:val="none" w:sz="0" w:space="0" w:color="auto"/>
        <w:left w:val="none" w:sz="0" w:space="0" w:color="auto"/>
        <w:bottom w:val="none" w:sz="0" w:space="0" w:color="auto"/>
        <w:right w:val="none" w:sz="0" w:space="0" w:color="auto"/>
      </w:divBdr>
      <w:divsChild>
        <w:div w:id="811556926">
          <w:marLeft w:val="0"/>
          <w:marRight w:val="0"/>
          <w:marTop w:val="0"/>
          <w:marBottom w:val="0"/>
          <w:divBdr>
            <w:top w:val="none" w:sz="0" w:space="0" w:color="auto"/>
            <w:left w:val="none" w:sz="0" w:space="0" w:color="auto"/>
            <w:bottom w:val="none" w:sz="0" w:space="0" w:color="auto"/>
            <w:right w:val="none" w:sz="0" w:space="0" w:color="auto"/>
          </w:divBdr>
          <w:divsChild>
            <w:div w:id="697706698">
              <w:marLeft w:val="0"/>
              <w:marRight w:val="0"/>
              <w:marTop w:val="0"/>
              <w:marBottom w:val="0"/>
              <w:divBdr>
                <w:top w:val="none" w:sz="0" w:space="0" w:color="auto"/>
                <w:left w:val="none" w:sz="0" w:space="0" w:color="auto"/>
                <w:bottom w:val="none" w:sz="0" w:space="0" w:color="auto"/>
                <w:right w:val="none" w:sz="0" w:space="0" w:color="auto"/>
              </w:divBdr>
              <w:divsChild>
                <w:div w:id="1090003738">
                  <w:marLeft w:val="0"/>
                  <w:marRight w:val="0"/>
                  <w:marTop w:val="0"/>
                  <w:marBottom w:val="0"/>
                  <w:divBdr>
                    <w:top w:val="none" w:sz="0" w:space="0" w:color="auto"/>
                    <w:left w:val="none" w:sz="0" w:space="0" w:color="auto"/>
                    <w:bottom w:val="none" w:sz="0" w:space="0" w:color="auto"/>
                    <w:right w:val="none" w:sz="0" w:space="0" w:color="auto"/>
                  </w:divBdr>
                </w:div>
              </w:divsChild>
            </w:div>
            <w:div w:id="1491821886">
              <w:marLeft w:val="0"/>
              <w:marRight w:val="0"/>
              <w:marTop w:val="0"/>
              <w:marBottom w:val="0"/>
              <w:divBdr>
                <w:top w:val="none" w:sz="0" w:space="0" w:color="auto"/>
                <w:left w:val="none" w:sz="0" w:space="0" w:color="auto"/>
                <w:bottom w:val="none" w:sz="0" w:space="0" w:color="auto"/>
                <w:right w:val="none" w:sz="0" w:space="0" w:color="auto"/>
              </w:divBdr>
              <w:divsChild>
                <w:div w:id="14634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5603">
      <w:bodyDiv w:val="1"/>
      <w:marLeft w:val="0"/>
      <w:marRight w:val="0"/>
      <w:marTop w:val="0"/>
      <w:marBottom w:val="0"/>
      <w:divBdr>
        <w:top w:val="none" w:sz="0" w:space="0" w:color="auto"/>
        <w:left w:val="none" w:sz="0" w:space="0" w:color="auto"/>
        <w:bottom w:val="none" w:sz="0" w:space="0" w:color="auto"/>
        <w:right w:val="none" w:sz="0" w:space="0" w:color="auto"/>
      </w:divBdr>
      <w:divsChild>
        <w:div w:id="290281443">
          <w:marLeft w:val="0"/>
          <w:marRight w:val="0"/>
          <w:marTop w:val="0"/>
          <w:marBottom w:val="0"/>
          <w:divBdr>
            <w:top w:val="none" w:sz="0" w:space="0" w:color="auto"/>
            <w:left w:val="none" w:sz="0" w:space="0" w:color="auto"/>
            <w:bottom w:val="none" w:sz="0" w:space="0" w:color="auto"/>
            <w:right w:val="none" w:sz="0" w:space="0" w:color="auto"/>
          </w:divBdr>
          <w:divsChild>
            <w:div w:id="1135415431">
              <w:marLeft w:val="0"/>
              <w:marRight w:val="0"/>
              <w:marTop w:val="0"/>
              <w:marBottom w:val="0"/>
              <w:divBdr>
                <w:top w:val="none" w:sz="0" w:space="0" w:color="auto"/>
                <w:left w:val="none" w:sz="0" w:space="0" w:color="auto"/>
                <w:bottom w:val="none" w:sz="0" w:space="0" w:color="auto"/>
                <w:right w:val="none" w:sz="0" w:space="0" w:color="auto"/>
              </w:divBdr>
              <w:divsChild>
                <w:div w:id="3721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6595">
      <w:bodyDiv w:val="1"/>
      <w:marLeft w:val="0"/>
      <w:marRight w:val="0"/>
      <w:marTop w:val="0"/>
      <w:marBottom w:val="0"/>
      <w:divBdr>
        <w:top w:val="none" w:sz="0" w:space="0" w:color="auto"/>
        <w:left w:val="none" w:sz="0" w:space="0" w:color="auto"/>
        <w:bottom w:val="none" w:sz="0" w:space="0" w:color="auto"/>
        <w:right w:val="none" w:sz="0" w:space="0" w:color="auto"/>
      </w:divBdr>
      <w:divsChild>
        <w:div w:id="2048599752">
          <w:marLeft w:val="0"/>
          <w:marRight w:val="0"/>
          <w:marTop w:val="0"/>
          <w:marBottom w:val="0"/>
          <w:divBdr>
            <w:top w:val="none" w:sz="0" w:space="0" w:color="auto"/>
            <w:left w:val="none" w:sz="0" w:space="0" w:color="auto"/>
            <w:bottom w:val="none" w:sz="0" w:space="0" w:color="auto"/>
            <w:right w:val="none" w:sz="0" w:space="0" w:color="auto"/>
          </w:divBdr>
          <w:divsChild>
            <w:div w:id="1529836408">
              <w:marLeft w:val="0"/>
              <w:marRight w:val="0"/>
              <w:marTop w:val="0"/>
              <w:marBottom w:val="0"/>
              <w:divBdr>
                <w:top w:val="none" w:sz="0" w:space="0" w:color="auto"/>
                <w:left w:val="none" w:sz="0" w:space="0" w:color="auto"/>
                <w:bottom w:val="none" w:sz="0" w:space="0" w:color="auto"/>
                <w:right w:val="none" w:sz="0" w:space="0" w:color="auto"/>
              </w:divBdr>
              <w:divsChild>
                <w:div w:id="15125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56191">
      <w:bodyDiv w:val="1"/>
      <w:marLeft w:val="0"/>
      <w:marRight w:val="0"/>
      <w:marTop w:val="0"/>
      <w:marBottom w:val="0"/>
      <w:divBdr>
        <w:top w:val="none" w:sz="0" w:space="0" w:color="auto"/>
        <w:left w:val="none" w:sz="0" w:space="0" w:color="auto"/>
        <w:bottom w:val="none" w:sz="0" w:space="0" w:color="auto"/>
        <w:right w:val="none" w:sz="0" w:space="0" w:color="auto"/>
      </w:divBdr>
    </w:div>
    <w:div w:id="1203908322">
      <w:bodyDiv w:val="1"/>
      <w:marLeft w:val="0"/>
      <w:marRight w:val="0"/>
      <w:marTop w:val="0"/>
      <w:marBottom w:val="0"/>
      <w:divBdr>
        <w:top w:val="none" w:sz="0" w:space="0" w:color="auto"/>
        <w:left w:val="none" w:sz="0" w:space="0" w:color="auto"/>
        <w:bottom w:val="none" w:sz="0" w:space="0" w:color="auto"/>
        <w:right w:val="none" w:sz="0" w:space="0" w:color="auto"/>
      </w:divBdr>
    </w:div>
    <w:div w:id="1210806011">
      <w:bodyDiv w:val="1"/>
      <w:marLeft w:val="0"/>
      <w:marRight w:val="0"/>
      <w:marTop w:val="0"/>
      <w:marBottom w:val="0"/>
      <w:divBdr>
        <w:top w:val="none" w:sz="0" w:space="0" w:color="auto"/>
        <w:left w:val="none" w:sz="0" w:space="0" w:color="auto"/>
        <w:bottom w:val="none" w:sz="0" w:space="0" w:color="auto"/>
        <w:right w:val="none" w:sz="0" w:space="0" w:color="auto"/>
      </w:divBdr>
      <w:divsChild>
        <w:div w:id="425464128">
          <w:marLeft w:val="0"/>
          <w:marRight w:val="0"/>
          <w:marTop w:val="0"/>
          <w:marBottom w:val="0"/>
          <w:divBdr>
            <w:top w:val="none" w:sz="0" w:space="0" w:color="auto"/>
            <w:left w:val="none" w:sz="0" w:space="0" w:color="auto"/>
            <w:bottom w:val="none" w:sz="0" w:space="0" w:color="auto"/>
            <w:right w:val="none" w:sz="0" w:space="0" w:color="auto"/>
          </w:divBdr>
          <w:divsChild>
            <w:div w:id="1089816338">
              <w:marLeft w:val="0"/>
              <w:marRight w:val="0"/>
              <w:marTop w:val="0"/>
              <w:marBottom w:val="0"/>
              <w:divBdr>
                <w:top w:val="none" w:sz="0" w:space="0" w:color="auto"/>
                <w:left w:val="none" w:sz="0" w:space="0" w:color="auto"/>
                <w:bottom w:val="none" w:sz="0" w:space="0" w:color="auto"/>
                <w:right w:val="none" w:sz="0" w:space="0" w:color="auto"/>
              </w:divBdr>
              <w:divsChild>
                <w:div w:id="17688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6061">
      <w:bodyDiv w:val="1"/>
      <w:marLeft w:val="0"/>
      <w:marRight w:val="0"/>
      <w:marTop w:val="0"/>
      <w:marBottom w:val="0"/>
      <w:divBdr>
        <w:top w:val="none" w:sz="0" w:space="0" w:color="auto"/>
        <w:left w:val="none" w:sz="0" w:space="0" w:color="auto"/>
        <w:bottom w:val="none" w:sz="0" w:space="0" w:color="auto"/>
        <w:right w:val="none" w:sz="0" w:space="0" w:color="auto"/>
      </w:divBdr>
      <w:divsChild>
        <w:div w:id="1597209362">
          <w:marLeft w:val="0"/>
          <w:marRight w:val="0"/>
          <w:marTop w:val="0"/>
          <w:marBottom w:val="0"/>
          <w:divBdr>
            <w:top w:val="none" w:sz="0" w:space="0" w:color="auto"/>
            <w:left w:val="none" w:sz="0" w:space="0" w:color="auto"/>
            <w:bottom w:val="none" w:sz="0" w:space="0" w:color="auto"/>
            <w:right w:val="none" w:sz="0" w:space="0" w:color="auto"/>
          </w:divBdr>
          <w:divsChild>
            <w:div w:id="255097784">
              <w:marLeft w:val="0"/>
              <w:marRight w:val="0"/>
              <w:marTop w:val="0"/>
              <w:marBottom w:val="0"/>
              <w:divBdr>
                <w:top w:val="none" w:sz="0" w:space="0" w:color="auto"/>
                <w:left w:val="none" w:sz="0" w:space="0" w:color="auto"/>
                <w:bottom w:val="none" w:sz="0" w:space="0" w:color="auto"/>
                <w:right w:val="none" w:sz="0" w:space="0" w:color="auto"/>
              </w:divBdr>
              <w:divsChild>
                <w:div w:id="17850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5056">
          <w:marLeft w:val="0"/>
          <w:marRight w:val="0"/>
          <w:marTop w:val="0"/>
          <w:marBottom w:val="0"/>
          <w:divBdr>
            <w:top w:val="none" w:sz="0" w:space="0" w:color="auto"/>
            <w:left w:val="none" w:sz="0" w:space="0" w:color="auto"/>
            <w:bottom w:val="none" w:sz="0" w:space="0" w:color="auto"/>
            <w:right w:val="none" w:sz="0" w:space="0" w:color="auto"/>
          </w:divBdr>
          <w:divsChild>
            <w:div w:id="1121191273">
              <w:marLeft w:val="0"/>
              <w:marRight w:val="0"/>
              <w:marTop w:val="0"/>
              <w:marBottom w:val="0"/>
              <w:divBdr>
                <w:top w:val="none" w:sz="0" w:space="0" w:color="auto"/>
                <w:left w:val="none" w:sz="0" w:space="0" w:color="auto"/>
                <w:bottom w:val="none" w:sz="0" w:space="0" w:color="auto"/>
                <w:right w:val="none" w:sz="0" w:space="0" w:color="auto"/>
              </w:divBdr>
              <w:divsChild>
                <w:div w:id="4959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0552">
          <w:marLeft w:val="0"/>
          <w:marRight w:val="0"/>
          <w:marTop w:val="0"/>
          <w:marBottom w:val="0"/>
          <w:divBdr>
            <w:top w:val="none" w:sz="0" w:space="0" w:color="auto"/>
            <w:left w:val="none" w:sz="0" w:space="0" w:color="auto"/>
            <w:bottom w:val="none" w:sz="0" w:space="0" w:color="auto"/>
            <w:right w:val="none" w:sz="0" w:space="0" w:color="auto"/>
          </w:divBdr>
          <w:divsChild>
            <w:div w:id="299578092">
              <w:marLeft w:val="0"/>
              <w:marRight w:val="0"/>
              <w:marTop w:val="0"/>
              <w:marBottom w:val="0"/>
              <w:divBdr>
                <w:top w:val="none" w:sz="0" w:space="0" w:color="auto"/>
                <w:left w:val="none" w:sz="0" w:space="0" w:color="auto"/>
                <w:bottom w:val="none" w:sz="0" w:space="0" w:color="auto"/>
                <w:right w:val="none" w:sz="0" w:space="0" w:color="auto"/>
              </w:divBdr>
              <w:divsChild>
                <w:div w:id="1180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8186">
          <w:marLeft w:val="0"/>
          <w:marRight w:val="0"/>
          <w:marTop w:val="0"/>
          <w:marBottom w:val="0"/>
          <w:divBdr>
            <w:top w:val="none" w:sz="0" w:space="0" w:color="auto"/>
            <w:left w:val="none" w:sz="0" w:space="0" w:color="auto"/>
            <w:bottom w:val="none" w:sz="0" w:space="0" w:color="auto"/>
            <w:right w:val="none" w:sz="0" w:space="0" w:color="auto"/>
          </w:divBdr>
          <w:divsChild>
            <w:div w:id="155805735">
              <w:marLeft w:val="0"/>
              <w:marRight w:val="0"/>
              <w:marTop w:val="0"/>
              <w:marBottom w:val="0"/>
              <w:divBdr>
                <w:top w:val="none" w:sz="0" w:space="0" w:color="auto"/>
                <w:left w:val="none" w:sz="0" w:space="0" w:color="auto"/>
                <w:bottom w:val="none" w:sz="0" w:space="0" w:color="auto"/>
                <w:right w:val="none" w:sz="0" w:space="0" w:color="auto"/>
              </w:divBdr>
              <w:divsChild>
                <w:div w:id="16015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570">
          <w:marLeft w:val="0"/>
          <w:marRight w:val="0"/>
          <w:marTop w:val="0"/>
          <w:marBottom w:val="0"/>
          <w:divBdr>
            <w:top w:val="none" w:sz="0" w:space="0" w:color="auto"/>
            <w:left w:val="none" w:sz="0" w:space="0" w:color="auto"/>
            <w:bottom w:val="none" w:sz="0" w:space="0" w:color="auto"/>
            <w:right w:val="none" w:sz="0" w:space="0" w:color="auto"/>
          </w:divBdr>
          <w:divsChild>
            <w:div w:id="2064712681">
              <w:marLeft w:val="0"/>
              <w:marRight w:val="0"/>
              <w:marTop w:val="0"/>
              <w:marBottom w:val="0"/>
              <w:divBdr>
                <w:top w:val="none" w:sz="0" w:space="0" w:color="auto"/>
                <w:left w:val="none" w:sz="0" w:space="0" w:color="auto"/>
                <w:bottom w:val="none" w:sz="0" w:space="0" w:color="auto"/>
                <w:right w:val="none" w:sz="0" w:space="0" w:color="auto"/>
              </w:divBdr>
              <w:divsChild>
                <w:div w:id="9653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7737">
      <w:bodyDiv w:val="1"/>
      <w:marLeft w:val="0"/>
      <w:marRight w:val="0"/>
      <w:marTop w:val="0"/>
      <w:marBottom w:val="0"/>
      <w:divBdr>
        <w:top w:val="none" w:sz="0" w:space="0" w:color="auto"/>
        <w:left w:val="none" w:sz="0" w:space="0" w:color="auto"/>
        <w:bottom w:val="none" w:sz="0" w:space="0" w:color="auto"/>
        <w:right w:val="none" w:sz="0" w:space="0" w:color="auto"/>
      </w:divBdr>
      <w:divsChild>
        <w:div w:id="2067991238">
          <w:marLeft w:val="0"/>
          <w:marRight w:val="0"/>
          <w:marTop w:val="0"/>
          <w:marBottom w:val="0"/>
          <w:divBdr>
            <w:top w:val="none" w:sz="0" w:space="0" w:color="auto"/>
            <w:left w:val="none" w:sz="0" w:space="0" w:color="auto"/>
            <w:bottom w:val="none" w:sz="0" w:space="0" w:color="auto"/>
            <w:right w:val="none" w:sz="0" w:space="0" w:color="auto"/>
          </w:divBdr>
          <w:divsChild>
            <w:div w:id="1310749117">
              <w:marLeft w:val="0"/>
              <w:marRight w:val="0"/>
              <w:marTop w:val="0"/>
              <w:marBottom w:val="0"/>
              <w:divBdr>
                <w:top w:val="none" w:sz="0" w:space="0" w:color="auto"/>
                <w:left w:val="none" w:sz="0" w:space="0" w:color="auto"/>
                <w:bottom w:val="none" w:sz="0" w:space="0" w:color="auto"/>
                <w:right w:val="none" w:sz="0" w:space="0" w:color="auto"/>
              </w:divBdr>
              <w:divsChild>
                <w:div w:id="17272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9433">
      <w:bodyDiv w:val="1"/>
      <w:marLeft w:val="0"/>
      <w:marRight w:val="0"/>
      <w:marTop w:val="0"/>
      <w:marBottom w:val="0"/>
      <w:divBdr>
        <w:top w:val="none" w:sz="0" w:space="0" w:color="auto"/>
        <w:left w:val="none" w:sz="0" w:space="0" w:color="auto"/>
        <w:bottom w:val="none" w:sz="0" w:space="0" w:color="auto"/>
        <w:right w:val="none" w:sz="0" w:space="0" w:color="auto"/>
      </w:divBdr>
      <w:divsChild>
        <w:div w:id="1784883418">
          <w:marLeft w:val="0"/>
          <w:marRight w:val="0"/>
          <w:marTop w:val="0"/>
          <w:marBottom w:val="0"/>
          <w:divBdr>
            <w:top w:val="none" w:sz="0" w:space="0" w:color="auto"/>
            <w:left w:val="none" w:sz="0" w:space="0" w:color="auto"/>
            <w:bottom w:val="none" w:sz="0" w:space="0" w:color="auto"/>
            <w:right w:val="none" w:sz="0" w:space="0" w:color="auto"/>
          </w:divBdr>
          <w:divsChild>
            <w:div w:id="412892841">
              <w:marLeft w:val="0"/>
              <w:marRight w:val="0"/>
              <w:marTop w:val="0"/>
              <w:marBottom w:val="0"/>
              <w:divBdr>
                <w:top w:val="none" w:sz="0" w:space="0" w:color="auto"/>
                <w:left w:val="none" w:sz="0" w:space="0" w:color="auto"/>
                <w:bottom w:val="none" w:sz="0" w:space="0" w:color="auto"/>
                <w:right w:val="none" w:sz="0" w:space="0" w:color="auto"/>
              </w:divBdr>
              <w:divsChild>
                <w:div w:id="18426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9919">
      <w:bodyDiv w:val="1"/>
      <w:marLeft w:val="0"/>
      <w:marRight w:val="0"/>
      <w:marTop w:val="0"/>
      <w:marBottom w:val="0"/>
      <w:divBdr>
        <w:top w:val="none" w:sz="0" w:space="0" w:color="auto"/>
        <w:left w:val="none" w:sz="0" w:space="0" w:color="auto"/>
        <w:bottom w:val="none" w:sz="0" w:space="0" w:color="auto"/>
        <w:right w:val="none" w:sz="0" w:space="0" w:color="auto"/>
      </w:divBdr>
      <w:divsChild>
        <w:div w:id="1351109322">
          <w:marLeft w:val="0"/>
          <w:marRight w:val="0"/>
          <w:marTop w:val="0"/>
          <w:marBottom w:val="0"/>
          <w:divBdr>
            <w:top w:val="none" w:sz="0" w:space="0" w:color="auto"/>
            <w:left w:val="none" w:sz="0" w:space="0" w:color="auto"/>
            <w:bottom w:val="none" w:sz="0" w:space="0" w:color="auto"/>
            <w:right w:val="none" w:sz="0" w:space="0" w:color="auto"/>
          </w:divBdr>
          <w:divsChild>
            <w:div w:id="1922518370">
              <w:marLeft w:val="0"/>
              <w:marRight w:val="0"/>
              <w:marTop w:val="0"/>
              <w:marBottom w:val="0"/>
              <w:divBdr>
                <w:top w:val="none" w:sz="0" w:space="0" w:color="auto"/>
                <w:left w:val="none" w:sz="0" w:space="0" w:color="auto"/>
                <w:bottom w:val="none" w:sz="0" w:space="0" w:color="auto"/>
                <w:right w:val="none" w:sz="0" w:space="0" w:color="auto"/>
              </w:divBdr>
              <w:divsChild>
                <w:div w:id="1715815005">
                  <w:marLeft w:val="0"/>
                  <w:marRight w:val="0"/>
                  <w:marTop w:val="0"/>
                  <w:marBottom w:val="0"/>
                  <w:divBdr>
                    <w:top w:val="none" w:sz="0" w:space="0" w:color="auto"/>
                    <w:left w:val="none" w:sz="0" w:space="0" w:color="auto"/>
                    <w:bottom w:val="none" w:sz="0" w:space="0" w:color="auto"/>
                    <w:right w:val="none" w:sz="0" w:space="0" w:color="auto"/>
                  </w:divBdr>
                  <w:divsChild>
                    <w:div w:id="15361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14974">
      <w:bodyDiv w:val="1"/>
      <w:marLeft w:val="0"/>
      <w:marRight w:val="0"/>
      <w:marTop w:val="0"/>
      <w:marBottom w:val="0"/>
      <w:divBdr>
        <w:top w:val="none" w:sz="0" w:space="0" w:color="auto"/>
        <w:left w:val="none" w:sz="0" w:space="0" w:color="auto"/>
        <w:bottom w:val="none" w:sz="0" w:space="0" w:color="auto"/>
        <w:right w:val="none" w:sz="0" w:space="0" w:color="auto"/>
      </w:divBdr>
      <w:divsChild>
        <w:div w:id="606547219">
          <w:marLeft w:val="0"/>
          <w:marRight w:val="0"/>
          <w:marTop w:val="0"/>
          <w:marBottom w:val="0"/>
          <w:divBdr>
            <w:top w:val="none" w:sz="0" w:space="0" w:color="auto"/>
            <w:left w:val="none" w:sz="0" w:space="0" w:color="auto"/>
            <w:bottom w:val="none" w:sz="0" w:space="0" w:color="auto"/>
            <w:right w:val="none" w:sz="0" w:space="0" w:color="auto"/>
          </w:divBdr>
          <w:divsChild>
            <w:div w:id="496305367">
              <w:marLeft w:val="0"/>
              <w:marRight w:val="0"/>
              <w:marTop w:val="0"/>
              <w:marBottom w:val="0"/>
              <w:divBdr>
                <w:top w:val="none" w:sz="0" w:space="0" w:color="auto"/>
                <w:left w:val="none" w:sz="0" w:space="0" w:color="auto"/>
                <w:bottom w:val="none" w:sz="0" w:space="0" w:color="auto"/>
                <w:right w:val="none" w:sz="0" w:space="0" w:color="auto"/>
              </w:divBdr>
              <w:divsChild>
                <w:div w:id="6739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7864">
      <w:bodyDiv w:val="1"/>
      <w:marLeft w:val="0"/>
      <w:marRight w:val="0"/>
      <w:marTop w:val="0"/>
      <w:marBottom w:val="0"/>
      <w:divBdr>
        <w:top w:val="none" w:sz="0" w:space="0" w:color="auto"/>
        <w:left w:val="none" w:sz="0" w:space="0" w:color="auto"/>
        <w:bottom w:val="none" w:sz="0" w:space="0" w:color="auto"/>
        <w:right w:val="none" w:sz="0" w:space="0" w:color="auto"/>
      </w:divBdr>
    </w:div>
    <w:div w:id="1248927422">
      <w:bodyDiv w:val="1"/>
      <w:marLeft w:val="0"/>
      <w:marRight w:val="0"/>
      <w:marTop w:val="0"/>
      <w:marBottom w:val="0"/>
      <w:divBdr>
        <w:top w:val="none" w:sz="0" w:space="0" w:color="auto"/>
        <w:left w:val="none" w:sz="0" w:space="0" w:color="auto"/>
        <w:bottom w:val="none" w:sz="0" w:space="0" w:color="auto"/>
        <w:right w:val="none" w:sz="0" w:space="0" w:color="auto"/>
      </w:divBdr>
      <w:divsChild>
        <w:div w:id="1756046874">
          <w:marLeft w:val="0"/>
          <w:marRight w:val="0"/>
          <w:marTop w:val="0"/>
          <w:marBottom w:val="0"/>
          <w:divBdr>
            <w:top w:val="none" w:sz="0" w:space="0" w:color="auto"/>
            <w:left w:val="none" w:sz="0" w:space="0" w:color="auto"/>
            <w:bottom w:val="none" w:sz="0" w:space="0" w:color="auto"/>
            <w:right w:val="none" w:sz="0" w:space="0" w:color="auto"/>
          </w:divBdr>
          <w:divsChild>
            <w:div w:id="1676492575">
              <w:marLeft w:val="0"/>
              <w:marRight w:val="0"/>
              <w:marTop w:val="0"/>
              <w:marBottom w:val="0"/>
              <w:divBdr>
                <w:top w:val="none" w:sz="0" w:space="0" w:color="auto"/>
                <w:left w:val="none" w:sz="0" w:space="0" w:color="auto"/>
                <w:bottom w:val="none" w:sz="0" w:space="0" w:color="auto"/>
                <w:right w:val="none" w:sz="0" w:space="0" w:color="auto"/>
              </w:divBdr>
              <w:divsChild>
                <w:div w:id="502204169">
                  <w:marLeft w:val="0"/>
                  <w:marRight w:val="0"/>
                  <w:marTop w:val="0"/>
                  <w:marBottom w:val="0"/>
                  <w:divBdr>
                    <w:top w:val="none" w:sz="0" w:space="0" w:color="auto"/>
                    <w:left w:val="none" w:sz="0" w:space="0" w:color="auto"/>
                    <w:bottom w:val="none" w:sz="0" w:space="0" w:color="auto"/>
                    <w:right w:val="none" w:sz="0" w:space="0" w:color="auto"/>
                  </w:divBdr>
                </w:div>
              </w:divsChild>
            </w:div>
            <w:div w:id="1279677899">
              <w:marLeft w:val="0"/>
              <w:marRight w:val="0"/>
              <w:marTop w:val="0"/>
              <w:marBottom w:val="0"/>
              <w:divBdr>
                <w:top w:val="none" w:sz="0" w:space="0" w:color="auto"/>
                <w:left w:val="none" w:sz="0" w:space="0" w:color="auto"/>
                <w:bottom w:val="none" w:sz="0" w:space="0" w:color="auto"/>
                <w:right w:val="none" w:sz="0" w:space="0" w:color="auto"/>
              </w:divBdr>
              <w:divsChild>
                <w:div w:id="3830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70147">
      <w:bodyDiv w:val="1"/>
      <w:marLeft w:val="0"/>
      <w:marRight w:val="0"/>
      <w:marTop w:val="0"/>
      <w:marBottom w:val="0"/>
      <w:divBdr>
        <w:top w:val="none" w:sz="0" w:space="0" w:color="auto"/>
        <w:left w:val="none" w:sz="0" w:space="0" w:color="auto"/>
        <w:bottom w:val="none" w:sz="0" w:space="0" w:color="auto"/>
        <w:right w:val="none" w:sz="0" w:space="0" w:color="auto"/>
      </w:divBdr>
    </w:div>
    <w:div w:id="1253664261">
      <w:bodyDiv w:val="1"/>
      <w:marLeft w:val="0"/>
      <w:marRight w:val="0"/>
      <w:marTop w:val="0"/>
      <w:marBottom w:val="0"/>
      <w:divBdr>
        <w:top w:val="none" w:sz="0" w:space="0" w:color="auto"/>
        <w:left w:val="none" w:sz="0" w:space="0" w:color="auto"/>
        <w:bottom w:val="none" w:sz="0" w:space="0" w:color="auto"/>
        <w:right w:val="none" w:sz="0" w:space="0" w:color="auto"/>
      </w:divBdr>
      <w:divsChild>
        <w:div w:id="1816145161">
          <w:marLeft w:val="0"/>
          <w:marRight w:val="0"/>
          <w:marTop w:val="0"/>
          <w:marBottom w:val="0"/>
          <w:divBdr>
            <w:top w:val="none" w:sz="0" w:space="0" w:color="auto"/>
            <w:left w:val="none" w:sz="0" w:space="0" w:color="auto"/>
            <w:bottom w:val="none" w:sz="0" w:space="0" w:color="auto"/>
            <w:right w:val="none" w:sz="0" w:space="0" w:color="auto"/>
          </w:divBdr>
          <w:divsChild>
            <w:div w:id="452751297">
              <w:marLeft w:val="0"/>
              <w:marRight w:val="0"/>
              <w:marTop w:val="0"/>
              <w:marBottom w:val="0"/>
              <w:divBdr>
                <w:top w:val="none" w:sz="0" w:space="0" w:color="auto"/>
                <w:left w:val="none" w:sz="0" w:space="0" w:color="auto"/>
                <w:bottom w:val="none" w:sz="0" w:space="0" w:color="auto"/>
                <w:right w:val="none" w:sz="0" w:space="0" w:color="auto"/>
              </w:divBdr>
              <w:divsChild>
                <w:div w:id="9198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1435">
      <w:bodyDiv w:val="1"/>
      <w:marLeft w:val="0"/>
      <w:marRight w:val="0"/>
      <w:marTop w:val="0"/>
      <w:marBottom w:val="0"/>
      <w:divBdr>
        <w:top w:val="none" w:sz="0" w:space="0" w:color="auto"/>
        <w:left w:val="none" w:sz="0" w:space="0" w:color="auto"/>
        <w:bottom w:val="none" w:sz="0" w:space="0" w:color="auto"/>
        <w:right w:val="none" w:sz="0" w:space="0" w:color="auto"/>
      </w:divBdr>
      <w:divsChild>
        <w:div w:id="94639187">
          <w:marLeft w:val="0"/>
          <w:marRight w:val="0"/>
          <w:marTop w:val="0"/>
          <w:marBottom w:val="0"/>
          <w:divBdr>
            <w:top w:val="none" w:sz="0" w:space="0" w:color="auto"/>
            <w:left w:val="none" w:sz="0" w:space="0" w:color="auto"/>
            <w:bottom w:val="none" w:sz="0" w:space="0" w:color="auto"/>
            <w:right w:val="none" w:sz="0" w:space="0" w:color="auto"/>
          </w:divBdr>
          <w:divsChild>
            <w:div w:id="944582449">
              <w:marLeft w:val="0"/>
              <w:marRight w:val="0"/>
              <w:marTop w:val="0"/>
              <w:marBottom w:val="0"/>
              <w:divBdr>
                <w:top w:val="none" w:sz="0" w:space="0" w:color="auto"/>
                <w:left w:val="none" w:sz="0" w:space="0" w:color="auto"/>
                <w:bottom w:val="none" w:sz="0" w:space="0" w:color="auto"/>
                <w:right w:val="none" w:sz="0" w:space="0" w:color="auto"/>
              </w:divBdr>
              <w:divsChild>
                <w:div w:id="14555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9369">
      <w:bodyDiv w:val="1"/>
      <w:marLeft w:val="0"/>
      <w:marRight w:val="0"/>
      <w:marTop w:val="0"/>
      <w:marBottom w:val="0"/>
      <w:divBdr>
        <w:top w:val="none" w:sz="0" w:space="0" w:color="auto"/>
        <w:left w:val="none" w:sz="0" w:space="0" w:color="auto"/>
        <w:bottom w:val="none" w:sz="0" w:space="0" w:color="auto"/>
        <w:right w:val="none" w:sz="0" w:space="0" w:color="auto"/>
      </w:divBdr>
      <w:divsChild>
        <w:div w:id="467405663">
          <w:marLeft w:val="0"/>
          <w:marRight w:val="0"/>
          <w:marTop w:val="0"/>
          <w:marBottom w:val="0"/>
          <w:divBdr>
            <w:top w:val="none" w:sz="0" w:space="0" w:color="auto"/>
            <w:left w:val="none" w:sz="0" w:space="0" w:color="auto"/>
            <w:bottom w:val="none" w:sz="0" w:space="0" w:color="auto"/>
            <w:right w:val="none" w:sz="0" w:space="0" w:color="auto"/>
          </w:divBdr>
          <w:divsChild>
            <w:div w:id="1167284735">
              <w:marLeft w:val="0"/>
              <w:marRight w:val="0"/>
              <w:marTop w:val="0"/>
              <w:marBottom w:val="0"/>
              <w:divBdr>
                <w:top w:val="none" w:sz="0" w:space="0" w:color="auto"/>
                <w:left w:val="none" w:sz="0" w:space="0" w:color="auto"/>
                <w:bottom w:val="none" w:sz="0" w:space="0" w:color="auto"/>
                <w:right w:val="none" w:sz="0" w:space="0" w:color="auto"/>
              </w:divBdr>
              <w:divsChild>
                <w:div w:id="6998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0164">
      <w:bodyDiv w:val="1"/>
      <w:marLeft w:val="0"/>
      <w:marRight w:val="0"/>
      <w:marTop w:val="0"/>
      <w:marBottom w:val="0"/>
      <w:divBdr>
        <w:top w:val="none" w:sz="0" w:space="0" w:color="auto"/>
        <w:left w:val="none" w:sz="0" w:space="0" w:color="auto"/>
        <w:bottom w:val="none" w:sz="0" w:space="0" w:color="auto"/>
        <w:right w:val="none" w:sz="0" w:space="0" w:color="auto"/>
      </w:divBdr>
    </w:div>
    <w:div w:id="1290160638">
      <w:bodyDiv w:val="1"/>
      <w:marLeft w:val="0"/>
      <w:marRight w:val="0"/>
      <w:marTop w:val="0"/>
      <w:marBottom w:val="0"/>
      <w:divBdr>
        <w:top w:val="none" w:sz="0" w:space="0" w:color="auto"/>
        <w:left w:val="none" w:sz="0" w:space="0" w:color="auto"/>
        <w:bottom w:val="none" w:sz="0" w:space="0" w:color="auto"/>
        <w:right w:val="none" w:sz="0" w:space="0" w:color="auto"/>
      </w:divBdr>
      <w:divsChild>
        <w:div w:id="399596519">
          <w:marLeft w:val="0"/>
          <w:marRight w:val="0"/>
          <w:marTop w:val="0"/>
          <w:marBottom w:val="0"/>
          <w:divBdr>
            <w:top w:val="none" w:sz="0" w:space="0" w:color="auto"/>
            <w:left w:val="none" w:sz="0" w:space="0" w:color="auto"/>
            <w:bottom w:val="none" w:sz="0" w:space="0" w:color="auto"/>
            <w:right w:val="none" w:sz="0" w:space="0" w:color="auto"/>
          </w:divBdr>
          <w:divsChild>
            <w:div w:id="548759149">
              <w:marLeft w:val="0"/>
              <w:marRight w:val="0"/>
              <w:marTop w:val="0"/>
              <w:marBottom w:val="0"/>
              <w:divBdr>
                <w:top w:val="none" w:sz="0" w:space="0" w:color="auto"/>
                <w:left w:val="none" w:sz="0" w:space="0" w:color="auto"/>
                <w:bottom w:val="none" w:sz="0" w:space="0" w:color="auto"/>
                <w:right w:val="none" w:sz="0" w:space="0" w:color="auto"/>
              </w:divBdr>
              <w:divsChild>
                <w:div w:id="6105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9858">
      <w:bodyDiv w:val="1"/>
      <w:marLeft w:val="0"/>
      <w:marRight w:val="0"/>
      <w:marTop w:val="0"/>
      <w:marBottom w:val="0"/>
      <w:divBdr>
        <w:top w:val="none" w:sz="0" w:space="0" w:color="auto"/>
        <w:left w:val="none" w:sz="0" w:space="0" w:color="auto"/>
        <w:bottom w:val="none" w:sz="0" w:space="0" w:color="auto"/>
        <w:right w:val="none" w:sz="0" w:space="0" w:color="auto"/>
      </w:divBdr>
    </w:div>
    <w:div w:id="1297754989">
      <w:bodyDiv w:val="1"/>
      <w:marLeft w:val="0"/>
      <w:marRight w:val="0"/>
      <w:marTop w:val="0"/>
      <w:marBottom w:val="0"/>
      <w:divBdr>
        <w:top w:val="none" w:sz="0" w:space="0" w:color="auto"/>
        <w:left w:val="none" w:sz="0" w:space="0" w:color="auto"/>
        <w:bottom w:val="none" w:sz="0" w:space="0" w:color="auto"/>
        <w:right w:val="none" w:sz="0" w:space="0" w:color="auto"/>
      </w:divBdr>
    </w:div>
    <w:div w:id="1304963684">
      <w:bodyDiv w:val="1"/>
      <w:marLeft w:val="0"/>
      <w:marRight w:val="0"/>
      <w:marTop w:val="0"/>
      <w:marBottom w:val="0"/>
      <w:divBdr>
        <w:top w:val="none" w:sz="0" w:space="0" w:color="auto"/>
        <w:left w:val="none" w:sz="0" w:space="0" w:color="auto"/>
        <w:bottom w:val="none" w:sz="0" w:space="0" w:color="auto"/>
        <w:right w:val="none" w:sz="0" w:space="0" w:color="auto"/>
      </w:divBdr>
      <w:divsChild>
        <w:div w:id="170530723">
          <w:marLeft w:val="0"/>
          <w:marRight w:val="0"/>
          <w:marTop w:val="0"/>
          <w:marBottom w:val="0"/>
          <w:divBdr>
            <w:top w:val="none" w:sz="0" w:space="0" w:color="auto"/>
            <w:left w:val="none" w:sz="0" w:space="0" w:color="auto"/>
            <w:bottom w:val="none" w:sz="0" w:space="0" w:color="auto"/>
            <w:right w:val="none" w:sz="0" w:space="0" w:color="auto"/>
          </w:divBdr>
        </w:div>
      </w:divsChild>
    </w:div>
    <w:div w:id="1312907648">
      <w:bodyDiv w:val="1"/>
      <w:marLeft w:val="0"/>
      <w:marRight w:val="0"/>
      <w:marTop w:val="0"/>
      <w:marBottom w:val="0"/>
      <w:divBdr>
        <w:top w:val="none" w:sz="0" w:space="0" w:color="auto"/>
        <w:left w:val="none" w:sz="0" w:space="0" w:color="auto"/>
        <w:bottom w:val="none" w:sz="0" w:space="0" w:color="auto"/>
        <w:right w:val="none" w:sz="0" w:space="0" w:color="auto"/>
      </w:divBdr>
      <w:divsChild>
        <w:div w:id="132720001">
          <w:marLeft w:val="0"/>
          <w:marRight w:val="0"/>
          <w:marTop w:val="0"/>
          <w:marBottom w:val="0"/>
          <w:divBdr>
            <w:top w:val="none" w:sz="0" w:space="0" w:color="auto"/>
            <w:left w:val="none" w:sz="0" w:space="0" w:color="auto"/>
            <w:bottom w:val="none" w:sz="0" w:space="0" w:color="auto"/>
            <w:right w:val="none" w:sz="0" w:space="0" w:color="auto"/>
          </w:divBdr>
          <w:divsChild>
            <w:div w:id="1130634716">
              <w:marLeft w:val="0"/>
              <w:marRight w:val="0"/>
              <w:marTop w:val="0"/>
              <w:marBottom w:val="0"/>
              <w:divBdr>
                <w:top w:val="none" w:sz="0" w:space="0" w:color="auto"/>
                <w:left w:val="none" w:sz="0" w:space="0" w:color="auto"/>
                <w:bottom w:val="none" w:sz="0" w:space="0" w:color="auto"/>
                <w:right w:val="none" w:sz="0" w:space="0" w:color="auto"/>
              </w:divBdr>
              <w:divsChild>
                <w:div w:id="17780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2559">
      <w:bodyDiv w:val="1"/>
      <w:marLeft w:val="0"/>
      <w:marRight w:val="0"/>
      <w:marTop w:val="0"/>
      <w:marBottom w:val="0"/>
      <w:divBdr>
        <w:top w:val="none" w:sz="0" w:space="0" w:color="auto"/>
        <w:left w:val="none" w:sz="0" w:space="0" w:color="auto"/>
        <w:bottom w:val="none" w:sz="0" w:space="0" w:color="auto"/>
        <w:right w:val="none" w:sz="0" w:space="0" w:color="auto"/>
      </w:divBdr>
      <w:divsChild>
        <w:div w:id="618529217">
          <w:marLeft w:val="0"/>
          <w:marRight w:val="0"/>
          <w:marTop w:val="0"/>
          <w:marBottom w:val="0"/>
          <w:divBdr>
            <w:top w:val="none" w:sz="0" w:space="0" w:color="auto"/>
            <w:left w:val="none" w:sz="0" w:space="0" w:color="auto"/>
            <w:bottom w:val="none" w:sz="0" w:space="0" w:color="auto"/>
            <w:right w:val="none" w:sz="0" w:space="0" w:color="auto"/>
          </w:divBdr>
          <w:divsChild>
            <w:div w:id="119501760">
              <w:marLeft w:val="0"/>
              <w:marRight w:val="0"/>
              <w:marTop w:val="0"/>
              <w:marBottom w:val="0"/>
              <w:divBdr>
                <w:top w:val="none" w:sz="0" w:space="0" w:color="auto"/>
                <w:left w:val="none" w:sz="0" w:space="0" w:color="auto"/>
                <w:bottom w:val="none" w:sz="0" w:space="0" w:color="auto"/>
                <w:right w:val="none" w:sz="0" w:space="0" w:color="auto"/>
              </w:divBdr>
              <w:divsChild>
                <w:div w:id="15395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7386">
      <w:bodyDiv w:val="1"/>
      <w:marLeft w:val="0"/>
      <w:marRight w:val="0"/>
      <w:marTop w:val="0"/>
      <w:marBottom w:val="0"/>
      <w:divBdr>
        <w:top w:val="none" w:sz="0" w:space="0" w:color="auto"/>
        <w:left w:val="none" w:sz="0" w:space="0" w:color="auto"/>
        <w:bottom w:val="none" w:sz="0" w:space="0" w:color="auto"/>
        <w:right w:val="none" w:sz="0" w:space="0" w:color="auto"/>
      </w:divBdr>
    </w:div>
    <w:div w:id="1348142753">
      <w:bodyDiv w:val="1"/>
      <w:marLeft w:val="0"/>
      <w:marRight w:val="0"/>
      <w:marTop w:val="0"/>
      <w:marBottom w:val="0"/>
      <w:divBdr>
        <w:top w:val="none" w:sz="0" w:space="0" w:color="auto"/>
        <w:left w:val="none" w:sz="0" w:space="0" w:color="auto"/>
        <w:bottom w:val="none" w:sz="0" w:space="0" w:color="auto"/>
        <w:right w:val="none" w:sz="0" w:space="0" w:color="auto"/>
      </w:divBdr>
      <w:divsChild>
        <w:div w:id="1043822879">
          <w:marLeft w:val="0"/>
          <w:marRight w:val="0"/>
          <w:marTop w:val="0"/>
          <w:marBottom w:val="0"/>
          <w:divBdr>
            <w:top w:val="none" w:sz="0" w:space="0" w:color="auto"/>
            <w:left w:val="none" w:sz="0" w:space="0" w:color="auto"/>
            <w:bottom w:val="none" w:sz="0" w:space="0" w:color="auto"/>
            <w:right w:val="none" w:sz="0" w:space="0" w:color="auto"/>
          </w:divBdr>
          <w:divsChild>
            <w:div w:id="336620563">
              <w:marLeft w:val="0"/>
              <w:marRight w:val="0"/>
              <w:marTop w:val="0"/>
              <w:marBottom w:val="0"/>
              <w:divBdr>
                <w:top w:val="none" w:sz="0" w:space="0" w:color="auto"/>
                <w:left w:val="none" w:sz="0" w:space="0" w:color="auto"/>
                <w:bottom w:val="none" w:sz="0" w:space="0" w:color="auto"/>
                <w:right w:val="none" w:sz="0" w:space="0" w:color="auto"/>
              </w:divBdr>
              <w:divsChild>
                <w:div w:id="9533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41347">
      <w:bodyDiv w:val="1"/>
      <w:marLeft w:val="0"/>
      <w:marRight w:val="0"/>
      <w:marTop w:val="0"/>
      <w:marBottom w:val="0"/>
      <w:divBdr>
        <w:top w:val="none" w:sz="0" w:space="0" w:color="auto"/>
        <w:left w:val="none" w:sz="0" w:space="0" w:color="auto"/>
        <w:bottom w:val="none" w:sz="0" w:space="0" w:color="auto"/>
        <w:right w:val="none" w:sz="0" w:space="0" w:color="auto"/>
      </w:divBdr>
    </w:div>
    <w:div w:id="1349210417">
      <w:bodyDiv w:val="1"/>
      <w:marLeft w:val="0"/>
      <w:marRight w:val="0"/>
      <w:marTop w:val="0"/>
      <w:marBottom w:val="0"/>
      <w:divBdr>
        <w:top w:val="none" w:sz="0" w:space="0" w:color="auto"/>
        <w:left w:val="none" w:sz="0" w:space="0" w:color="auto"/>
        <w:bottom w:val="none" w:sz="0" w:space="0" w:color="auto"/>
        <w:right w:val="none" w:sz="0" w:space="0" w:color="auto"/>
      </w:divBdr>
      <w:divsChild>
        <w:div w:id="1084759968">
          <w:marLeft w:val="0"/>
          <w:marRight w:val="0"/>
          <w:marTop w:val="0"/>
          <w:marBottom w:val="0"/>
          <w:divBdr>
            <w:top w:val="none" w:sz="0" w:space="0" w:color="auto"/>
            <w:left w:val="none" w:sz="0" w:space="0" w:color="auto"/>
            <w:bottom w:val="none" w:sz="0" w:space="0" w:color="auto"/>
            <w:right w:val="none" w:sz="0" w:space="0" w:color="auto"/>
          </w:divBdr>
          <w:divsChild>
            <w:div w:id="167185681">
              <w:marLeft w:val="0"/>
              <w:marRight w:val="0"/>
              <w:marTop w:val="0"/>
              <w:marBottom w:val="0"/>
              <w:divBdr>
                <w:top w:val="none" w:sz="0" w:space="0" w:color="auto"/>
                <w:left w:val="none" w:sz="0" w:space="0" w:color="auto"/>
                <w:bottom w:val="none" w:sz="0" w:space="0" w:color="auto"/>
                <w:right w:val="none" w:sz="0" w:space="0" w:color="auto"/>
              </w:divBdr>
              <w:divsChild>
                <w:div w:id="1802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18260">
      <w:bodyDiv w:val="1"/>
      <w:marLeft w:val="0"/>
      <w:marRight w:val="0"/>
      <w:marTop w:val="0"/>
      <w:marBottom w:val="0"/>
      <w:divBdr>
        <w:top w:val="none" w:sz="0" w:space="0" w:color="auto"/>
        <w:left w:val="none" w:sz="0" w:space="0" w:color="auto"/>
        <w:bottom w:val="none" w:sz="0" w:space="0" w:color="auto"/>
        <w:right w:val="none" w:sz="0" w:space="0" w:color="auto"/>
      </w:divBdr>
      <w:divsChild>
        <w:div w:id="286353881">
          <w:marLeft w:val="0"/>
          <w:marRight w:val="0"/>
          <w:marTop w:val="0"/>
          <w:marBottom w:val="0"/>
          <w:divBdr>
            <w:top w:val="none" w:sz="0" w:space="0" w:color="auto"/>
            <w:left w:val="none" w:sz="0" w:space="0" w:color="auto"/>
            <w:bottom w:val="none" w:sz="0" w:space="0" w:color="auto"/>
            <w:right w:val="none" w:sz="0" w:space="0" w:color="auto"/>
          </w:divBdr>
          <w:divsChild>
            <w:div w:id="1132795626">
              <w:marLeft w:val="0"/>
              <w:marRight w:val="0"/>
              <w:marTop w:val="0"/>
              <w:marBottom w:val="0"/>
              <w:divBdr>
                <w:top w:val="none" w:sz="0" w:space="0" w:color="auto"/>
                <w:left w:val="none" w:sz="0" w:space="0" w:color="auto"/>
                <w:bottom w:val="none" w:sz="0" w:space="0" w:color="auto"/>
                <w:right w:val="none" w:sz="0" w:space="0" w:color="auto"/>
              </w:divBdr>
              <w:divsChild>
                <w:div w:id="18148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6581">
      <w:bodyDiv w:val="1"/>
      <w:marLeft w:val="0"/>
      <w:marRight w:val="0"/>
      <w:marTop w:val="0"/>
      <w:marBottom w:val="0"/>
      <w:divBdr>
        <w:top w:val="none" w:sz="0" w:space="0" w:color="auto"/>
        <w:left w:val="none" w:sz="0" w:space="0" w:color="auto"/>
        <w:bottom w:val="none" w:sz="0" w:space="0" w:color="auto"/>
        <w:right w:val="none" w:sz="0" w:space="0" w:color="auto"/>
      </w:divBdr>
      <w:divsChild>
        <w:div w:id="2059625704">
          <w:marLeft w:val="0"/>
          <w:marRight w:val="0"/>
          <w:marTop w:val="0"/>
          <w:marBottom w:val="0"/>
          <w:divBdr>
            <w:top w:val="none" w:sz="0" w:space="0" w:color="auto"/>
            <w:left w:val="none" w:sz="0" w:space="0" w:color="auto"/>
            <w:bottom w:val="none" w:sz="0" w:space="0" w:color="auto"/>
            <w:right w:val="none" w:sz="0" w:space="0" w:color="auto"/>
          </w:divBdr>
          <w:divsChild>
            <w:div w:id="637803218">
              <w:marLeft w:val="0"/>
              <w:marRight w:val="0"/>
              <w:marTop w:val="0"/>
              <w:marBottom w:val="0"/>
              <w:divBdr>
                <w:top w:val="none" w:sz="0" w:space="0" w:color="auto"/>
                <w:left w:val="none" w:sz="0" w:space="0" w:color="auto"/>
                <w:bottom w:val="none" w:sz="0" w:space="0" w:color="auto"/>
                <w:right w:val="none" w:sz="0" w:space="0" w:color="auto"/>
              </w:divBdr>
              <w:divsChild>
                <w:div w:id="524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9265">
      <w:bodyDiv w:val="1"/>
      <w:marLeft w:val="0"/>
      <w:marRight w:val="0"/>
      <w:marTop w:val="0"/>
      <w:marBottom w:val="0"/>
      <w:divBdr>
        <w:top w:val="none" w:sz="0" w:space="0" w:color="auto"/>
        <w:left w:val="none" w:sz="0" w:space="0" w:color="auto"/>
        <w:bottom w:val="none" w:sz="0" w:space="0" w:color="auto"/>
        <w:right w:val="none" w:sz="0" w:space="0" w:color="auto"/>
      </w:divBdr>
    </w:div>
    <w:div w:id="1380979652">
      <w:bodyDiv w:val="1"/>
      <w:marLeft w:val="0"/>
      <w:marRight w:val="0"/>
      <w:marTop w:val="0"/>
      <w:marBottom w:val="0"/>
      <w:divBdr>
        <w:top w:val="none" w:sz="0" w:space="0" w:color="auto"/>
        <w:left w:val="none" w:sz="0" w:space="0" w:color="auto"/>
        <w:bottom w:val="none" w:sz="0" w:space="0" w:color="auto"/>
        <w:right w:val="none" w:sz="0" w:space="0" w:color="auto"/>
      </w:divBdr>
    </w:div>
    <w:div w:id="1383627120">
      <w:bodyDiv w:val="1"/>
      <w:marLeft w:val="0"/>
      <w:marRight w:val="0"/>
      <w:marTop w:val="0"/>
      <w:marBottom w:val="0"/>
      <w:divBdr>
        <w:top w:val="none" w:sz="0" w:space="0" w:color="auto"/>
        <w:left w:val="none" w:sz="0" w:space="0" w:color="auto"/>
        <w:bottom w:val="none" w:sz="0" w:space="0" w:color="auto"/>
        <w:right w:val="none" w:sz="0" w:space="0" w:color="auto"/>
      </w:divBdr>
    </w:div>
    <w:div w:id="1392193352">
      <w:bodyDiv w:val="1"/>
      <w:marLeft w:val="0"/>
      <w:marRight w:val="0"/>
      <w:marTop w:val="0"/>
      <w:marBottom w:val="0"/>
      <w:divBdr>
        <w:top w:val="none" w:sz="0" w:space="0" w:color="auto"/>
        <w:left w:val="none" w:sz="0" w:space="0" w:color="auto"/>
        <w:bottom w:val="none" w:sz="0" w:space="0" w:color="auto"/>
        <w:right w:val="none" w:sz="0" w:space="0" w:color="auto"/>
      </w:divBdr>
      <w:divsChild>
        <w:div w:id="1275936915">
          <w:marLeft w:val="0"/>
          <w:marRight w:val="0"/>
          <w:marTop w:val="0"/>
          <w:marBottom w:val="0"/>
          <w:divBdr>
            <w:top w:val="none" w:sz="0" w:space="0" w:color="auto"/>
            <w:left w:val="none" w:sz="0" w:space="0" w:color="auto"/>
            <w:bottom w:val="none" w:sz="0" w:space="0" w:color="auto"/>
            <w:right w:val="none" w:sz="0" w:space="0" w:color="auto"/>
          </w:divBdr>
          <w:divsChild>
            <w:div w:id="1280070036">
              <w:marLeft w:val="0"/>
              <w:marRight w:val="0"/>
              <w:marTop w:val="0"/>
              <w:marBottom w:val="0"/>
              <w:divBdr>
                <w:top w:val="none" w:sz="0" w:space="0" w:color="auto"/>
                <w:left w:val="none" w:sz="0" w:space="0" w:color="auto"/>
                <w:bottom w:val="none" w:sz="0" w:space="0" w:color="auto"/>
                <w:right w:val="none" w:sz="0" w:space="0" w:color="auto"/>
              </w:divBdr>
              <w:divsChild>
                <w:div w:id="7951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7909">
      <w:bodyDiv w:val="1"/>
      <w:marLeft w:val="0"/>
      <w:marRight w:val="0"/>
      <w:marTop w:val="0"/>
      <w:marBottom w:val="0"/>
      <w:divBdr>
        <w:top w:val="none" w:sz="0" w:space="0" w:color="auto"/>
        <w:left w:val="none" w:sz="0" w:space="0" w:color="auto"/>
        <w:bottom w:val="none" w:sz="0" w:space="0" w:color="auto"/>
        <w:right w:val="none" w:sz="0" w:space="0" w:color="auto"/>
      </w:divBdr>
      <w:divsChild>
        <w:div w:id="1371952256">
          <w:marLeft w:val="0"/>
          <w:marRight w:val="0"/>
          <w:marTop w:val="0"/>
          <w:marBottom w:val="0"/>
          <w:divBdr>
            <w:top w:val="none" w:sz="0" w:space="0" w:color="auto"/>
            <w:left w:val="none" w:sz="0" w:space="0" w:color="auto"/>
            <w:bottom w:val="none" w:sz="0" w:space="0" w:color="auto"/>
            <w:right w:val="none" w:sz="0" w:space="0" w:color="auto"/>
          </w:divBdr>
          <w:divsChild>
            <w:div w:id="39868387">
              <w:marLeft w:val="0"/>
              <w:marRight w:val="0"/>
              <w:marTop w:val="0"/>
              <w:marBottom w:val="0"/>
              <w:divBdr>
                <w:top w:val="none" w:sz="0" w:space="0" w:color="auto"/>
                <w:left w:val="none" w:sz="0" w:space="0" w:color="auto"/>
                <w:bottom w:val="none" w:sz="0" w:space="0" w:color="auto"/>
                <w:right w:val="none" w:sz="0" w:space="0" w:color="auto"/>
              </w:divBdr>
              <w:divsChild>
                <w:div w:id="15365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7891">
      <w:bodyDiv w:val="1"/>
      <w:marLeft w:val="0"/>
      <w:marRight w:val="0"/>
      <w:marTop w:val="0"/>
      <w:marBottom w:val="0"/>
      <w:divBdr>
        <w:top w:val="none" w:sz="0" w:space="0" w:color="auto"/>
        <w:left w:val="none" w:sz="0" w:space="0" w:color="auto"/>
        <w:bottom w:val="none" w:sz="0" w:space="0" w:color="auto"/>
        <w:right w:val="none" w:sz="0" w:space="0" w:color="auto"/>
      </w:divBdr>
    </w:div>
    <w:div w:id="1414817478">
      <w:bodyDiv w:val="1"/>
      <w:marLeft w:val="0"/>
      <w:marRight w:val="0"/>
      <w:marTop w:val="0"/>
      <w:marBottom w:val="0"/>
      <w:divBdr>
        <w:top w:val="none" w:sz="0" w:space="0" w:color="auto"/>
        <w:left w:val="none" w:sz="0" w:space="0" w:color="auto"/>
        <w:bottom w:val="none" w:sz="0" w:space="0" w:color="auto"/>
        <w:right w:val="none" w:sz="0" w:space="0" w:color="auto"/>
      </w:divBdr>
      <w:divsChild>
        <w:div w:id="955063984">
          <w:marLeft w:val="0"/>
          <w:marRight w:val="0"/>
          <w:marTop w:val="0"/>
          <w:marBottom w:val="0"/>
          <w:divBdr>
            <w:top w:val="none" w:sz="0" w:space="0" w:color="auto"/>
            <w:left w:val="none" w:sz="0" w:space="0" w:color="auto"/>
            <w:bottom w:val="none" w:sz="0" w:space="0" w:color="auto"/>
            <w:right w:val="none" w:sz="0" w:space="0" w:color="auto"/>
          </w:divBdr>
          <w:divsChild>
            <w:div w:id="714550533">
              <w:marLeft w:val="0"/>
              <w:marRight w:val="0"/>
              <w:marTop w:val="0"/>
              <w:marBottom w:val="0"/>
              <w:divBdr>
                <w:top w:val="none" w:sz="0" w:space="0" w:color="auto"/>
                <w:left w:val="none" w:sz="0" w:space="0" w:color="auto"/>
                <w:bottom w:val="none" w:sz="0" w:space="0" w:color="auto"/>
                <w:right w:val="none" w:sz="0" w:space="0" w:color="auto"/>
              </w:divBdr>
              <w:divsChild>
                <w:div w:id="9256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3619">
      <w:bodyDiv w:val="1"/>
      <w:marLeft w:val="0"/>
      <w:marRight w:val="0"/>
      <w:marTop w:val="0"/>
      <w:marBottom w:val="0"/>
      <w:divBdr>
        <w:top w:val="none" w:sz="0" w:space="0" w:color="auto"/>
        <w:left w:val="none" w:sz="0" w:space="0" w:color="auto"/>
        <w:bottom w:val="none" w:sz="0" w:space="0" w:color="auto"/>
        <w:right w:val="none" w:sz="0" w:space="0" w:color="auto"/>
      </w:divBdr>
      <w:divsChild>
        <w:div w:id="511335102">
          <w:marLeft w:val="0"/>
          <w:marRight w:val="0"/>
          <w:marTop w:val="0"/>
          <w:marBottom w:val="0"/>
          <w:divBdr>
            <w:top w:val="none" w:sz="0" w:space="0" w:color="auto"/>
            <w:left w:val="none" w:sz="0" w:space="0" w:color="auto"/>
            <w:bottom w:val="none" w:sz="0" w:space="0" w:color="auto"/>
            <w:right w:val="none" w:sz="0" w:space="0" w:color="auto"/>
          </w:divBdr>
          <w:divsChild>
            <w:div w:id="507984554">
              <w:marLeft w:val="0"/>
              <w:marRight w:val="0"/>
              <w:marTop w:val="0"/>
              <w:marBottom w:val="0"/>
              <w:divBdr>
                <w:top w:val="none" w:sz="0" w:space="0" w:color="auto"/>
                <w:left w:val="none" w:sz="0" w:space="0" w:color="auto"/>
                <w:bottom w:val="none" w:sz="0" w:space="0" w:color="auto"/>
                <w:right w:val="none" w:sz="0" w:space="0" w:color="auto"/>
              </w:divBdr>
              <w:divsChild>
                <w:div w:id="5488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3480">
      <w:bodyDiv w:val="1"/>
      <w:marLeft w:val="0"/>
      <w:marRight w:val="0"/>
      <w:marTop w:val="0"/>
      <w:marBottom w:val="0"/>
      <w:divBdr>
        <w:top w:val="none" w:sz="0" w:space="0" w:color="auto"/>
        <w:left w:val="none" w:sz="0" w:space="0" w:color="auto"/>
        <w:bottom w:val="none" w:sz="0" w:space="0" w:color="auto"/>
        <w:right w:val="none" w:sz="0" w:space="0" w:color="auto"/>
      </w:divBdr>
      <w:divsChild>
        <w:div w:id="1792244767">
          <w:marLeft w:val="0"/>
          <w:marRight w:val="0"/>
          <w:marTop w:val="0"/>
          <w:marBottom w:val="0"/>
          <w:divBdr>
            <w:top w:val="none" w:sz="0" w:space="0" w:color="auto"/>
            <w:left w:val="none" w:sz="0" w:space="0" w:color="auto"/>
            <w:bottom w:val="none" w:sz="0" w:space="0" w:color="auto"/>
            <w:right w:val="none" w:sz="0" w:space="0" w:color="auto"/>
          </w:divBdr>
          <w:divsChild>
            <w:div w:id="582253883">
              <w:marLeft w:val="0"/>
              <w:marRight w:val="0"/>
              <w:marTop w:val="0"/>
              <w:marBottom w:val="0"/>
              <w:divBdr>
                <w:top w:val="none" w:sz="0" w:space="0" w:color="auto"/>
                <w:left w:val="none" w:sz="0" w:space="0" w:color="auto"/>
                <w:bottom w:val="none" w:sz="0" w:space="0" w:color="auto"/>
                <w:right w:val="none" w:sz="0" w:space="0" w:color="auto"/>
              </w:divBdr>
              <w:divsChild>
                <w:div w:id="12639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3176">
      <w:bodyDiv w:val="1"/>
      <w:marLeft w:val="0"/>
      <w:marRight w:val="0"/>
      <w:marTop w:val="0"/>
      <w:marBottom w:val="0"/>
      <w:divBdr>
        <w:top w:val="none" w:sz="0" w:space="0" w:color="auto"/>
        <w:left w:val="none" w:sz="0" w:space="0" w:color="auto"/>
        <w:bottom w:val="none" w:sz="0" w:space="0" w:color="auto"/>
        <w:right w:val="none" w:sz="0" w:space="0" w:color="auto"/>
      </w:divBdr>
      <w:divsChild>
        <w:div w:id="19551684">
          <w:marLeft w:val="0"/>
          <w:marRight w:val="0"/>
          <w:marTop w:val="0"/>
          <w:marBottom w:val="0"/>
          <w:divBdr>
            <w:top w:val="none" w:sz="0" w:space="0" w:color="auto"/>
            <w:left w:val="none" w:sz="0" w:space="0" w:color="auto"/>
            <w:bottom w:val="none" w:sz="0" w:space="0" w:color="auto"/>
            <w:right w:val="none" w:sz="0" w:space="0" w:color="auto"/>
          </w:divBdr>
          <w:divsChild>
            <w:div w:id="1760059285">
              <w:marLeft w:val="0"/>
              <w:marRight w:val="0"/>
              <w:marTop w:val="0"/>
              <w:marBottom w:val="0"/>
              <w:divBdr>
                <w:top w:val="none" w:sz="0" w:space="0" w:color="auto"/>
                <w:left w:val="none" w:sz="0" w:space="0" w:color="auto"/>
                <w:bottom w:val="none" w:sz="0" w:space="0" w:color="auto"/>
                <w:right w:val="none" w:sz="0" w:space="0" w:color="auto"/>
              </w:divBdr>
              <w:divsChild>
                <w:div w:id="14103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8841">
      <w:bodyDiv w:val="1"/>
      <w:marLeft w:val="0"/>
      <w:marRight w:val="0"/>
      <w:marTop w:val="0"/>
      <w:marBottom w:val="0"/>
      <w:divBdr>
        <w:top w:val="none" w:sz="0" w:space="0" w:color="auto"/>
        <w:left w:val="none" w:sz="0" w:space="0" w:color="auto"/>
        <w:bottom w:val="none" w:sz="0" w:space="0" w:color="auto"/>
        <w:right w:val="none" w:sz="0" w:space="0" w:color="auto"/>
      </w:divBdr>
      <w:divsChild>
        <w:div w:id="328290165">
          <w:marLeft w:val="0"/>
          <w:marRight w:val="0"/>
          <w:marTop w:val="0"/>
          <w:marBottom w:val="0"/>
          <w:divBdr>
            <w:top w:val="none" w:sz="0" w:space="0" w:color="auto"/>
            <w:left w:val="none" w:sz="0" w:space="0" w:color="auto"/>
            <w:bottom w:val="none" w:sz="0" w:space="0" w:color="auto"/>
            <w:right w:val="none" w:sz="0" w:space="0" w:color="auto"/>
          </w:divBdr>
          <w:divsChild>
            <w:div w:id="528177135">
              <w:marLeft w:val="0"/>
              <w:marRight w:val="0"/>
              <w:marTop w:val="0"/>
              <w:marBottom w:val="0"/>
              <w:divBdr>
                <w:top w:val="none" w:sz="0" w:space="0" w:color="auto"/>
                <w:left w:val="none" w:sz="0" w:space="0" w:color="auto"/>
                <w:bottom w:val="none" w:sz="0" w:space="0" w:color="auto"/>
                <w:right w:val="none" w:sz="0" w:space="0" w:color="auto"/>
              </w:divBdr>
              <w:divsChild>
                <w:div w:id="5861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8016">
      <w:bodyDiv w:val="1"/>
      <w:marLeft w:val="0"/>
      <w:marRight w:val="0"/>
      <w:marTop w:val="0"/>
      <w:marBottom w:val="0"/>
      <w:divBdr>
        <w:top w:val="none" w:sz="0" w:space="0" w:color="auto"/>
        <w:left w:val="none" w:sz="0" w:space="0" w:color="auto"/>
        <w:bottom w:val="none" w:sz="0" w:space="0" w:color="auto"/>
        <w:right w:val="none" w:sz="0" w:space="0" w:color="auto"/>
      </w:divBdr>
      <w:divsChild>
        <w:div w:id="1156414572">
          <w:marLeft w:val="0"/>
          <w:marRight w:val="0"/>
          <w:marTop w:val="0"/>
          <w:marBottom w:val="0"/>
          <w:divBdr>
            <w:top w:val="none" w:sz="0" w:space="0" w:color="auto"/>
            <w:left w:val="none" w:sz="0" w:space="0" w:color="auto"/>
            <w:bottom w:val="none" w:sz="0" w:space="0" w:color="auto"/>
            <w:right w:val="none" w:sz="0" w:space="0" w:color="auto"/>
          </w:divBdr>
          <w:divsChild>
            <w:div w:id="420950715">
              <w:marLeft w:val="0"/>
              <w:marRight w:val="0"/>
              <w:marTop w:val="0"/>
              <w:marBottom w:val="0"/>
              <w:divBdr>
                <w:top w:val="none" w:sz="0" w:space="0" w:color="auto"/>
                <w:left w:val="none" w:sz="0" w:space="0" w:color="auto"/>
                <w:bottom w:val="none" w:sz="0" w:space="0" w:color="auto"/>
                <w:right w:val="none" w:sz="0" w:space="0" w:color="auto"/>
              </w:divBdr>
              <w:divsChild>
                <w:div w:id="20433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sChild>
        <w:div w:id="927153262">
          <w:marLeft w:val="0"/>
          <w:marRight w:val="0"/>
          <w:marTop w:val="0"/>
          <w:marBottom w:val="0"/>
          <w:divBdr>
            <w:top w:val="none" w:sz="0" w:space="0" w:color="auto"/>
            <w:left w:val="none" w:sz="0" w:space="0" w:color="auto"/>
            <w:bottom w:val="none" w:sz="0" w:space="0" w:color="auto"/>
            <w:right w:val="none" w:sz="0" w:space="0" w:color="auto"/>
          </w:divBdr>
          <w:divsChild>
            <w:div w:id="1869677423">
              <w:marLeft w:val="0"/>
              <w:marRight w:val="0"/>
              <w:marTop w:val="0"/>
              <w:marBottom w:val="0"/>
              <w:divBdr>
                <w:top w:val="none" w:sz="0" w:space="0" w:color="auto"/>
                <w:left w:val="none" w:sz="0" w:space="0" w:color="auto"/>
                <w:bottom w:val="none" w:sz="0" w:space="0" w:color="auto"/>
                <w:right w:val="none" w:sz="0" w:space="0" w:color="auto"/>
              </w:divBdr>
              <w:divsChild>
                <w:div w:id="6687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42087">
      <w:bodyDiv w:val="1"/>
      <w:marLeft w:val="0"/>
      <w:marRight w:val="0"/>
      <w:marTop w:val="0"/>
      <w:marBottom w:val="0"/>
      <w:divBdr>
        <w:top w:val="none" w:sz="0" w:space="0" w:color="auto"/>
        <w:left w:val="none" w:sz="0" w:space="0" w:color="auto"/>
        <w:bottom w:val="none" w:sz="0" w:space="0" w:color="auto"/>
        <w:right w:val="none" w:sz="0" w:space="0" w:color="auto"/>
      </w:divBdr>
      <w:divsChild>
        <w:div w:id="983583414">
          <w:marLeft w:val="0"/>
          <w:marRight w:val="0"/>
          <w:marTop w:val="0"/>
          <w:marBottom w:val="0"/>
          <w:divBdr>
            <w:top w:val="none" w:sz="0" w:space="0" w:color="auto"/>
            <w:left w:val="none" w:sz="0" w:space="0" w:color="auto"/>
            <w:bottom w:val="none" w:sz="0" w:space="0" w:color="auto"/>
            <w:right w:val="none" w:sz="0" w:space="0" w:color="auto"/>
          </w:divBdr>
          <w:divsChild>
            <w:div w:id="1341470735">
              <w:marLeft w:val="0"/>
              <w:marRight w:val="0"/>
              <w:marTop w:val="0"/>
              <w:marBottom w:val="0"/>
              <w:divBdr>
                <w:top w:val="none" w:sz="0" w:space="0" w:color="auto"/>
                <w:left w:val="none" w:sz="0" w:space="0" w:color="auto"/>
                <w:bottom w:val="none" w:sz="0" w:space="0" w:color="auto"/>
                <w:right w:val="none" w:sz="0" w:space="0" w:color="auto"/>
              </w:divBdr>
              <w:divsChild>
                <w:div w:id="14513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6788">
      <w:bodyDiv w:val="1"/>
      <w:marLeft w:val="0"/>
      <w:marRight w:val="0"/>
      <w:marTop w:val="0"/>
      <w:marBottom w:val="0"/>
      <w:divBdr>
        <w:top w:val="none" w:sz="0" w:space="0" w:color="auto"/>
        <w:left w:val="none" w:sz="0" w:space="0" w:color="auto"/>
        <w:bottom w:val="none" w:sz="0" w:space="0" w:color="auto"/>
        <w:right w:val="none" w:sz="0" w:space="0" w:color="auto"/>
      </w:divBdr>
    </w:div>
    <w:div w:id="1517113773">
      <w:bodyDiv w:val="1"/>
      <w:marLeft w:val="0"/>
      <w:marRight w:val="0"/>
      <w:marTop w:val="0"/>
      <w:marBottom w:val="0"/>
      <w:divBdr>
        <w:top w:val="none" w:sz="0" w:space="0" w:color="auto"/>
        <w:left w:val="none" w:sz="0" w:space="0" w:color="auto"/>
        <w:bottom w:val="none" w:sz="0" w:space="0" w:color="auto"/>
        <w:right w:val="none" w:sz="0" w:space="0" w:color="auto"/>
      </w:divBdr>
      <w:divsChild>
        <w:div w:id="1656647944">
          <w:marLeft w:val="0"/>
          <w:marRight w:val="0"/>
          <w:marTop w:val="0"/>
          <w:marBottom w:val="0"/>
          <w:divBdr>
            <w:top w:val="none" w:sz="0" w:space="0" w:color="auto"/>
            <w:left w:val="none" w:sz="0" w:space="0" w:color="auto"/>
            <w:bottom w:val="none" w:sz="0" w:space="0" w:color="auto"/>
            <w:right w:val="none" w:sz="0" w:space="0" w:color="auto"/>
          </w:divBdr>
          <w:divsChild>
            <w:div w:id="1584802555">
              <w:marLeft w:val="0"/>
              <w:marRight w:val="0"/>
              <w:marTop w:val="0"/>
              <w:marBottom w:val="0"/>
              <w:divBdr>
                <w:top w:val="none" w:sz="0" w:space="0" w:color="auto"/>
                <w:left w:val="none" w:sz="0" w:space="0" w:color="auto"/>
                <w:bottom w:val="none" w:sz="0" w:space="0" w:color="auto"/>
                <w:right w:val="none" w:sz="0" w:space="0" w:color="auto"/>
              </w:divBdr>
              <w:divsChild>
                <w:div w:id="1828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10382">
      <w:bodyDiv w:val="1"/>
      <w:marLeft w:val="0"/>
      <w:marRight w:val="0"/>
      <w:marTop w:val="0"/>
      <w:marBottom w:val="0"/>
      <w:divBdr>
        <w:top w:val="none" w:sz="0" w:space="0" w:color="auto"/>
        <w:left w:val="none" w:sz="0" w:space="0" w:color="auto"/>
        <w:bottom w:val="none" w:sz="0" w:space="0" w:color="auto"/>
        <w:right w:val="none" w:sz="0" w:space="0" w:color="auto"/>
      </w:divBdr>
      <w:divsChild>
        <w:div w:id="784350411">
          <w:marLeft w:val="0"/>
          <w:marRight w:val="0"/>
          <w:marTop w:val="0"/>
          <w:marBottom w:val="0"/>
          <w:divBdr>
            <w:top w:val="none" w:sz="0" w:space="0" w:color="auto"/>
            <w:left w:val="none" w:sz="0" w:space="0" w:color="auto"/>
            <w:bottom w:val="none" w:sz="0" w:space="0" w:color="auto"/>
            <w:right w:val="none" w:sz="0" w:space="0" w:color="auto"/>
          </w:divBdr>
        </w:div>
      </w:divsChild>
    </w:div>
    <w:div w:id="1555460339">
      <w:bodyDiv w:val="1"/>
      <w:marLeft w:val="0"/>
      <w:marRight w:val="0"/>
      <w:marTop w:val="0"/>
      <w:marBottom w:val="0"/>
      <w:divBdr>
        <w:top w:val="none" w:sz="0" w:space="0" w:color="auto"/>
        <w:left w:val="none" w:sz="0" w:space="0" w:color="auto"/>
        <w:bottom w:val="none" w:sz="0" w:space="0" w:color="auto"/>
        <w:right w:val="none" w:sz="0" w:space="0" w:color="auto"/>
      </w:divBdr>
    </w:div>
    <w:div w:id="1558978127">
      <w:bodyDiv w:val="1"/>
      <w:marLeft w:val="0"/>
      <w:marRight w:val="0"/>
      <w:marTop w:val="0"/>
      <w:marBottom w:val="0"/>
      <w:divBdr>
        <w:top w:val="none" w:sz="0" w:space="0" w:color="auto"/>
        <w:left w:val="none" w:sz="0" w:space="0" w:color="auto"/>
        <w:bottom w:val="none" w:sz="0" w:space="0" w:color="auto"/>
        <w:right w:val="none" w:sz="0" w:space="0" w:color="auto"/>
      </w:divBdr>
      <w:divsChild>
        <w:div w:id="200171335">
          <w:marLeft w:val="0"/>
          <w:marRight w:val="0"/>
          <w:marTop w:val="0"/>
          <w:marBottom w:val="0"/>
          <w:divBdr>
            <w:top w:val="none" w:sz="0" w:space="0" w:color="auto"/>
            <w:left w:val="none" w:sz="0" w:space="0" w:color="auto"/>
            <w:bottom w:val="none" w:sz="0" w:space="0" w:color="auto"/>
            <w:right w:val="none" w:sz="0" w:space="0" w:color="auto"/>
          </w:divBdr>
          <w:divsChild>
            <w:div w:id="724833682">
              <w:marLeft w:val="0"/>
              <w:marRight w:val="0"/>
              <w:marTop w:val="0"/>
              <w:marBottom w:val="0"/>
              <w:divBdr>
                <w:top w:val="none" w:sz="0" w:space="0" w:color="auto"/>
                <w:left w:val="none" w:sz="0" w:space="0" w:color="auto"/>
                <w:bottom w:val="none" w:sz="0" w:space="0" w:color="auto"/>
                <w:right w:val="none" w:sz="0" w:space="0" w:color="auto"/>
              </w:divBdr>
              <w:divsChild>
                <w:div w:id="1187061099">
                  <w:marLeft w:val="0"/>
                  <w:marRight w:val="0"/>
                  <w:marTop w:val="0"/>
                  <w:marBottom w:val="0"/>
                  <w:divBdr>
                    <w:top w:val="none" w:sz="0" w:space="0" w:color="auto"/>
                    <w:left w:val="none" w:sz="0" w:space="0" w:color="auto"/>
                    <w:bottom w:val="none" w:sz="0" w:space="0" w:color="auto"/>
                    <w:right w:val="none" w:sz="0" w:space="0" w:color="auto"/>
                  </w:divBdr>
                  <w:divsChild>
                    <w:div w:id="11310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81863">
      <w:bodyDiv w:val="1"/>
      <w:marLeft w:val="0"/>
      <w:marRight w:val="0"/>
      <w:marTop w:val="0"/>
      <w:marBottom w:val="0"/>
      <w:divBdr>
        <w:top w:val="none" w:sz="0" w:space="0" w:color="auto"/>
        <w:left w:val="none" w:sz="0" w:space="0" w:color="auto"/>
        <w:bottom w:val="none" w:sz="0" w:space="0" w:color="auto"/>
        <w:right w:val="none" w:sz="0" w:space="0" w:color="auto"/>
      </w:divBdr>
      <w:divsChild>
        <w:div w:id="1161626370">
          <w:marLeft w:val="0"/>
          <w:marRight w:val="0"/>
          <w:marTop w:val="0"/>
          <w:marBottom w:val="0"/>
          <w:divBdr>
            <w:top w:val="none" w:sz="0" w:space="0" w:color="auto"/>
            <w:left w:val="none" w:sz="0" w:space="0" w:color="auto"/>
            <w:bottom w:val="none" w:sz="0" w:space="0" w:color="auto"/>
            <w:right w:val="none" w:sz="0" w:space="0" w:color="auto"/>
          </w:divBdr>
          <w:divsChild>
            <w:div w:id="880092881">
              <w:marLeft w:val="0"/>
              <w:marRight w:val="0"/>
              <w:marTop w:val="0"/>
              <w:marBottom w:val="0"/>
              <w:divBdr>
                <w:top w:val="none" w:sz="0" w:space="0" w:color="auto"/>
                <w:left w:val="none" w:sz="0" w:space="0" w:color="auto"/>
                <w:bottom w:val="none" w:sz="0" w:space="0" w:color="auto"/>
                <w:right w:val="none" w:sz="0" w:space="0" w:color="auto"/>
              </w:divBdr>
              <w:divsChild>
                <w:div w:id="1321076397">
                  <w:marLeft w:val="0"/>
                  <w:marRight w:val="0"/>
                  <w:marTop w:val="0"/>
                  <w:marBottom w:val="0"/>
                  <w:divBdr>
                    <w:top w:val="none" w:sz="0" w:space="0" w:color="auto"/>
                    <w:left w:val="none" w:sz="0" w:space="0" w:color="auto"/>
                    <w:bottom w:val="none" w:sz="0" w:space="0" w:color="auto"/>
                    <w:right w:val="none" w:sz="0" w:space="0" w:color="auto"/>
                  </w:divBdr>
                </w:div>
              </w:divsChild>
            </w:div>
            <w:div w:id="1321034360">
              <w:marLeft w:val="0"/>
              <w:marRight w:val="0"/>
              <w:marTop w:val="0"/>
              <w:marBottom w:val="0"/>
              <w:divBdr>
                <w:top w:val="none" w:sz="0" w:space="0" w:color="auto"/>
                <w:left w:val="none" w:sz="0" w:space="0" w:color="auto"/>
                <w:bottom w:val="none" w:sz="0" w:space="0" w:color="auto"/>
                <w:right w:val="none" w:sz="0" w:space="0" w:color="auto"/>
              </w:divBdr>
              <w:divsChild>
                <w:div w:id="10529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095977798">
          <w:marLeft w:val="0"/>
          <w:marRight w:val="0"/>
          <w:marTop w:val="0"/>
          <w:marBottom w:val="0"/>
          <w:divBdr>
            <w:top w:val="none" w:sz="0" w:space="0" w:color="auto"/>
            <w:left w:val="none" w:sz="0" w:space="0" w:color="auto"/>
            <w:bottom w:val="none" w:sz="0" w:space="0" w:color="auto"/>
            <w:right w:val="none" w:sz="0" w:space="0" w:color="auto"/>
          </w:divBdr>
          <w:divsChild>
            <w:div w:id="543755250">
              <w:marLeft w:val="0"/>
              <w:marRight w:val="0"/>
              <w:marTop w:val="0"/>
              <w:marBottom w:val="0"/>
              <w:divBdr>
                <w:top w:val="none" w:sz="0" w:space="0" w:color="auto"/>
                <w:left w:val="none" w:sz="0" w:space="0" w:color="auto"/>
                <w:bottom w:val="none" w:sz="0" w:space="0" w:color="auto"/>
                <w:right w:val="none" w:sz="0" w:space="0" w:color="auto"/>
              </w:divBdr>
              <w:divsChild>
                <w:div w:id="8826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1099">
      <w:bodyDiv w:val="1"/>
      <w:marLeft w:val="0"/>
      <w:marRight w:val="0"/>
      <w:marTop w:val="0"/>
      <w:marBottom w:val="0"/>
      <w:divBdr>
        <w:top w:val="none" w:sz="0" w:space="0" w:color="auto"/>
        <w:left w:val="none" w:sz="0" w:space="0" w:color="auto"/>
        <w:bottom w:val="none" w:sz="0" w:space="0" w:color="auto"/>
        <w:right w:val="none" w:sz="0" w:space="0" w:color="auto"/>
      </w:divBdr>
      <w:divsChild>
        <w:div w:id="864369821">
          <w:marLeft w:val="0"/>
          <w:marRight w:val="0"/>
          <w:marTop w:val="0"/>
          <w:marBottom w:val="0"/>
          <w:divBdr>
            <w:top w:val="none" w:sz="0" w:space="0" w:color="auto"/>
            <w:left w:val="none" w:sz="0" w:space="0" w:color="auto"/>
            <w:bottom w:val="none" w:sz="0" w:space="0" w:color="auto"/>
            <w:right w:val="none" w:sz="0" w:space="0" w:color="auto"/>
          </w:divBdr>
          <w:divsChild>
            <w:div w:id="543490760">
              <w:marLeft w:val="0"/>
              <w:marRight w:val="0"/>
              <w:marTop w:val="0"/>
              <w:marBottom w:val="0"/>
              <w:divBdr>
                <w:top w:val="none" w:sz="0" w:space="0" w:color="auto"/>
                <w:left w:val="none" w:sz="0" w:space="0" w:color="auto"/>
                <w:bottom w:val="none" w:sz="0" w:space="0" w:color="auto"/>
                <w:right w:val="none" w:sz="0" w:space="0" w:color="auto"/>
              </w:divBdr>
              <w:divsChild>
                <w:div w:id="12969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6103">
      <w:bodyDiv w:val="1"/>
      <w:marLeft w:val="0"/>
      <w:marRight w:val="0"/>
      <w:marTop w:val="0"/>
      <w:marBottom w:val="0"/>
      <w:divBdr>
        <w:top w:val="none" w:sz="0" w:space="0" w:color="auto"/>
        <w:left w:val="none" w:sz="0" w:space="0" w:color="auto"/>
        <w:bottom w:val="none" w:sz="0" w:space="0" w:color="auto"/>
        <w:right w:val="none" w:sz="0" w:space="0" w:color="auto"/>
      </w:divBdr>
      <w:divsChild>
        <w:div w:id="1486818891">
          <w:marLeft w:val="0"/>
          <w:marRight w:val="0"/>
          <w:marTop w:val="0"/>
          <w:marBottom w:val="0"/>
          <w:divBdr>
            <w:top w:val="none" w:sz="0" w:space="0" w:color="auto"/>
            <w:left w:val="none" w:sz="0" w:space="0" w:color="auto"/>
            <w:bottom w:val="none" w:sz="0" w:space="0" w:color="auto"/>
            <w:right w:val="none" w:sz="0" w:space="0" w:color="auto"/>
          </w:divBdr>
          <w:divsChild>
            <w:div w:id="1537767068">
              <w:marLeft w:val="0"/>
              <w:marRight w:val="0"/>
              <w:marTop w:val="0"/>
              <w:marBottom w:val="0"/>
              <w:divBdr>
                <w:top w:val="none" w:sz="0" w:space="0" w:color="auto"/>
                <w:left w:val="none" w:sz="0" w:space="0" w:color="auto"/>
                <w:bottom w:val="none" w:sz="0" w:space="0" w:color="auto"/>
                <w:right w:val="none" w:sz="0" w:space="0" w:color="auto"/>
              </w:divBdr>
              <w:divsChild>
                <w:div w:id="7408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7487">
      <w:bodyDiv w:val="1"/>
      <w:marLeft w:val="0"/>
      <w:marRight w:val="0"/>
      <w:marTop w:val="0"/>
      <w:marBottom w:val="0"/>
      <w:divBdr>
        <w:top w:val="none" w:sz="0" w:space="0" w:color="auto"/>
        <w:left w:val="none" w:sz="0" w:space="0" w:color="auto"/>
        <w:bottom w:val="none" w:sz="0" w:space="0" w:color="auto"/>
        <w:right w:val="none" w:sz="0" w:space="0" w:color="auto"/>
      </w:divBdr>
    </w:div>
    <w:div w:id="1580214892">
      <w:bodyDiv w:val="1"/>
      <w:marLeft w:val="0"/>
      <w:marRight w:val="0"/>
      <w:marTop w:val="0"/>
      <w:marBottom w:val="0"/>
      <w:divBdr>
        <w:top w:val="none" w:sz="0" w:space="0" w:color="auto"/>
        <w:left w:val="none" w:sz="0" w:space="0" w:color="auto"/>
        <w:bottom w:val="none" w:sz="0" w:space="0" w:color="auto"/>
        <w:right w:val="none" w:sz="0" w:space="0" w:color="auto"/>
      </w:divBdr>
      <w:divsChild>
        <w:div w:id="1175536227">
          <w:marLeft w:val="0"/>
          <w:marRight w:val="0"/>
          <w:marTop w:val="0"/>
          <w:marBottom w:val="0"/>
          <w:divBdr>
            <w:top w:val="none" w:sz="0" w:space="0" w:color="auto"/>
            <w:left w:val="none" w:sz="0" w:space="0" w:color="auto"/>
            <w:bottom w:val="none" w:sz="0" w:space="0" w:color="auto"/>
            <w:right w:val="none" w:sz="0" w:space="0" w:color="auto"/>
          </w:divBdr>
          <w:divsChild>
            <w:div w:id="411271095">
              <w:marLeft w:val="0"/>
              <w:marRight w:val="0"/>
              <w:marTop w:val="0"/>
              <w:marBottom w:val="0"/>
              <w:divBdr>
                <w:top w:val="none" w:sz="0" w:space="0" w:color="auto"/>
                <w:left w:val="none" w:sz="0" w:space="0" w:color="auto"/>
                <w:bottom w:val="none" w:sz="0" w:space="0" w:color="auto"/>
                <w:right w:val="none" w:sz="0" w:space="0" w:color="auto"/>
              </w:divBdr>
              <w:divsChild>
                <w:div w:id="12997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5006">
      <w:bodyDiv w:val="1"/>
      <w:marLeft w:val="0"/>
      <w:marRight w:val="0"/>
      <w:marTop w:val="0"/>
      <w:marBottom w:val="0"/>
      <w:divBdr>
        <w:top w:val="none" w:sz="0" w:space="0" w:color="auto"/>
        <w:left w:val="none" w:sz="0" w:space="0" w:color="auto"/>
        <w:bottom w:val="none" w:sz="0" w:space="0" w:color="auto"/>
        <w:right w:val="none" w:sz="0" w:space="0" w:color="auto"/>
      </w:divBdr>
      <w:divsChild>
        <w:div w:id="1929384567">
          <w:marLeft w:val="0"/>
          <w:marRight w:val="0"/>
          <w:marTop w:val="0"/>
          <w:marBottom w:val="0"/>
          <w:divBdr>
            <w:top w:val="none" w:sz="0" w:space="0" w:color="auto"/>
            <w:left w:val="none" w:sz="0" w:space="0" w:color="auto"/>
            <w:bottom w:val="none" w:sz="0" w:space="0" w:color="auto"/>
            <w:right w:val="none" w:sz="0" w:space="0" w:color="auto"/>
          </w:divBdr>
          <w:divsChild>
            <w:div w:id="2087267137">
              <w:marLeft w:val="0"/>
              <w:marRight w:val="0"/>
              <w:marTop w:val="0"/>
              <w:marBottom w:val="0"/>
              <w:divBdr>
                <w:top w:val="none" w:sz="0" w:space="0" w:color="auto"/>
                <w:left w:val="none" w:sz="0" w:space="0" w:color="auto"/>
                <w:bottom w:val="none" w:sz="0" w:space="0" w:color="auto"/>
                <w:right w:val="none" w:sz="0" w:space="0" w:color="auto"/>
              </w:divBdr>
              <w:divsChild>
                <w:div w:id="9184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31981">
      <w:bodyDiv w:val="1"/>
      <w:marLeft w:val="0"/>
      <w:marRight w:val="0"/>
      <w:marTop w:val="0"/>
      <w:marBottom w:val="0"/>
      <w:divBdr>
        <w:top w:val="none" w:sz="0" w:space="0" w:color="auto"/>
        <w:left w:val="none" w:sz="0" w:space="0" w:color="auto"/>
        <w:bottom w:val="none" w:sz="0" w:space="0" w:color="auto"/>
        <w:right w:val="none" w:sz="0" w:space="0" w:color="auto"/>
      </w:divBdr>
      <w:divsChild>
        <w:div w:id="469907726">
          <w:marLeft w:val="0"/>
          <w:marRight w:val="0"/>
          <w:marTop w:val="0"/>
          <w:marBottom w:val="0"/>
          <w:divBdr>
            <w:top w:val="none" w:sz="0" w:space="0" w:color="auto"/>
            <w:left w:val="none" w:sz="0" w:space="0" w:color="auto"/>
            <w:bottom w:val="none" w:sz="0" w:space="0" w:color="auto"/>
            <w:right w:val="none" w:sz="0" w:space="0" w:color="auto"/>
          </w:divBdr>
          <w:divsChild>
            <w:div w:id="942690854">
              <w:marLeft w:val="0"/>
              <w:marRight w:val="0"/>
              <w:marTop w:val="0"/>
              <w:marBottom w:val="0"/>
              <w:divBdr>
                <w:top w:val="none" w:sz="0" w:space="0" w:color="auto"/>
                <w:left w:val="none" w:sz="0" w:space="0" w:color="auto"/>
                <w:bottom w:val="none" w:sz="0" w:space="0" w:color="auto"/>
                <w:right w:val="none" w:sz="0" w:space="0" w:color="auto"/>
              </w:divBdr>
              <w:divsChild>
                <w:div w:id="15819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0546">
      <w:bodyDiv w:val="1"/>
      <w:marLeft w:val="0"/>
      <w:marRight w:val="0"/>
      <w:marTop w:val="0"/>
      <w:marBottom w:val="0"/>
      <w:divBdr>
        <w:top w:val="none" w:sz="0" w:space="0" w:color="auto"/>
        <w:left w:val="none" w:sz="0" w:space="0" w:color="auto"/>
        <w:bottom w:val="none" w:sz="0" w:space="0" w:color="auto"/>
        <w:right w:val="none" w:sz="0" w:space="0" w:color="auto"/>
      </w:divBdr>
    </w:div>
    <w:div w:id="1592662886">
      <w:bodyDiv w:val="1"/>
      <w:marLeft w:val="0"/>
      <w:marRight w:val="0"/>
      <w:marTop w:val="0"/>
      <w:marBottom w:val="0"/>
      <w:divBdr>
        <w:top w:val="none" w:sz="0" w:space="0" w:color="auto"/>
        <w:left w:val="none" w:sz="0" w:space="0" w:color="auto"/>
        <w:bottom w:val="none" w:sz="0" w:space="0" w:color="auto"/>
        <w:right w:val="none" w:sz="0" w:space="0" w:color="auto"/>
      </w:divBdr>
      <w:divsChild>
        <w:div w:id="1716277570">
          <w:marLeft w:val="0"/>
          <w:marRight w:val="0"/>
          <w:marTop w:val="0"/>
          <w:marBottom w:val="0"/>
          <w:divBdr>
            <w:top w:val="none" w:sz="0" w:space="0" w:color="auto"/>
            <w:left w:val="none" w:sz="0" w:space="0" w:color="auto"/>
            <w:bottom w:val="none" w:sz="0" w:space="0" w:color="auto"/>
            <w:right w:val="none" w:sz="0" w:space="0" w:color="auto"/>
          </w:divBdr>
          <w:divsChild>
            <w:div w:id="1165123263">
              <w:marLeft w:val="0"/>
              <w:marRight w:val="0"/>
              <w:marTop w:val="0"/>
              <w:marBottom w:val="0"/>
              <w:divBdr>
                <w:top w:val="none" w:sz="0" w:space="0" w:color="auto"/>
                <w:left w:val="none" w:sz="0" w:space="0" w:color="auto"/>
                <w:bottom w:val="none" w:sz="0" w:space="0" w:color="auto"/>
                <w:right w:val="none" w:sz="0" w:space="0" w:color="auto"/>
              </w:divBdr>
              <w:divsChild>
                <w:div w:id="10777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618">
      <w:bodyDiv w:val="1"/>
      <w:marLeft w:val="0"/>
      <w:marRight w:val="0"/>
      <w:marTop w:val="0"/>
      <w:marBottom w:val="0"/>
      <w:divBdr>
        <w:top w:val="none" w:sz="0" w:space="0" w:color="auto"/>
        <w:left w:val="none" w:sz="0" w:space="0" w:color="auto"/>
        <w:bottom w:val="none" w:sz="0" w:space="0" w:color="auto"/>
        <w:right w:val="none" w:sz="0" w:space="0" w:color="auto"/>
      </w:divBdr>
      <w:divsChild>
        <w:div w:id="377976419">
          <w:marLeft w:val="0"/>
          <w:marRight w:val="0"/>
          <w:marTop w:val="0"/>
          <w:marBottom w:val="0"/>
          <w:divBdr>
            <w:top w:val="none" w:sz="0" w:space="0" w:color="auto"/>
            <w:left w:val="none" w:sz="0" w:space="0" w:color="auto"/>
            <w:bottom w:val="none" w:sz="0" w:space="0" w:color="auto"/>
            <w:right w:val="none" w:sz="0" w:space="0" w:color="auto"/>
          </w:divBdr>
          <w:divsChild>
            <w:div w:id="1664241423">
              <w:marLeft w:val="0"/>
              <w:marRight w:val="0"/>
              <w:marTop w:val="0"/>
              <w:marBottom w:val="0"/>
              <w:divBdr>
                <w:top w:val="none" w:sz="0" w:space="0" w:color="auto"/>
                <w:left w:val="none" w:sz="0" w:space="0" w:color="auto"/>
                <w:bottom w:val="none" w:sz="0" w:space="0" w:color="auto"/>
                <w:right w:val="none" w:sz="0" w:space="0" w:color="auto"/>
              </w:divBdr>
              <w:divsChild>
                <w:div w:id="1374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6525">
      <w:bodyDiv w:val="1"/>
      <w:marLeft w:val="0"/>
      <w:marRight w:val="0"/>
      <w:marTop w:val="0"/>
      <w:marBottom w:val="0"/>
      <w:divBdr>
        <w:top w:val="none" w:sz="0" w:space="0" w:color="auto"/>
        <w:left w:val="none" w:sz="0" w:space="0" w:color="auto"/>
        <w:bottom w:val="none" w:sz="0" w:space="0" w:color="auto"/>
        <w:right w:val="none" w:sz="0" w:space="0" w:color="auto"/>
      </w:divBdr>
      <w:divsChild>
        <w:div w:id="1439761704">
          <w:marLeft w:val="0"/>
          <w:marRight w:val="0"/>
          <w:marTop w:val="0"/>
          <w:marBottom w:val="0"/>
          <w:divBdr>
            <w:top w:val="none" w:sz="0" w:space="0" w:color="auto"/>
            <w:left w:val="none" w:sz="0" w:space="0" w:color="auto"/>
            <w:bottom w:val="none" w:sz="0" w:space="0" w:color="auto"/>
            <w:right w:val="none" w:sz="0" w:space="0" w:color="auto"/>
          </w:divBdr>
          <w:divsChild>
            <w:div w:id="1287850831">
              <w:marLeft w:val="0"/>
              <w:marRight w:val="0"/>
              <w:marTop w:val="0"/>
              <w:marBottom w:val="0"/>
              <w:divBdr>
                <w:top w:val="none" w:sz="0" w:space="0" w:color="auto"/>
                <w:left w:val="none" w:sz="0" w:space="0" w:color="auto"/>
                <w:bottom w:val="none" w:sz="0" w:space="0" w:color="auto"/>
                <w:right w:val="none" w:sz="0" w:space="0" w:color="auto"/>
              </w:divBdr>
            </w:div>
          </w:divsChild>
        </w:div>
        <w:div w:id="2045210251">
          <w:marLeft w:val="0"/>
          <w:marRight w:val="0"/>
          <w:marTop w:val="0"/>
          <w:marBottom w:val="0"/>
          <w:divBdr>
            <w:top w:val="none" w:sz="0" w:space="0" w:color="auto"/>
            <w:left w:val="none" w:sz="0" w:space="0" w:color="auto"/>
            <w:bottom w:val="none" w:sz="0" w:space="0" w:color="auto"/>
            <w:right w:val="none" w:sz="0" w:space="0" w:color="auto"/>
          </w:divBdr>
          <w:divsChild>
            <w:div w:id="1381400247">
              <w:marLeft w:val="0"/>
              <w:marRight w:val="0"/>
              <w:marTop w:val="0"/>
              <w:marBottom w:val="0"/>
              <w:divBdr>
                <w:top w:val="none" w:sz="0" w:space="0" w:color="auto"/>
                <w:left w:val="none" w:sz="0" w:space="0" w:color="auto"/>
                <w:bottom w:val="none" w:sz="0" w:space="0" w:color="auto"/>
                <w:right w:val="none" w:sz="0" w:space="0" w:color="auto"/>
              </w:divBdr>
            </w:div>
            <w:div w:id="1730113330">
              <w:marLeft w:val="0"/>
              <w:marRight w:val="0"/>
              <w:marTop w:val="0"/>
              <w:marBottom w:val="0"/>
              <w:divBdr>
                <w:top w:val="none" w:sz="0" w:space="0" w:color="auto"/>
                <w:left w:val="none" w:sz="0" w:space="0" w:color="auto"/>
                <w:bottom w:val="none" w:sz="0" w:space="0" w:color="auto"/>
                <w:right w:val="none" w:sz="0" w:space="0" w:color="auto"/>
              </w:divBdr>
            </w:div>
            <w:div w:id="30812219">
              <w:marLeft w:val="0"/>
              <w:marRight w:val="0"/>
              <w:marTop w:val="0"/>
              <w:marBottom w:val="0"/>
              <w:divBdr>
                <w:top w:val="none" w:sz="0" w:space="0" w:color="auto"/>
                <w:left w:val="none" w:sz="0" w:space="0" w:color="auto"/>
                <w:bottom w:val="none" w:sz="0" w:space="0" w:color="auto"/>
                <w:right w:val="none" w:sz="0" w:space="0" w:color="auto"/>
              </w:divBdr>
            </w:div>
          </w:divsChild>
        </w:div>
        <w:div w:id="457145991">
          <w:marLeft w:val="0"/>
          <w:marRight w:val="0"/>
          <w:marTop w:val="0"/>
          <w:marBottom w:val="0"/>
          <w:divBdr>
            <w:top w:val="none" w:sz="0" w:space="0" w:color="auto"/>
            <w:left w:val="none" w:sz="0" w:space="0" w:color="auto"/>
            <w:bottom w:val="none" w:sz="0" w:space="0" w:color="auto"/>
            <w:right w:val="none" w:sz="0" w:space="0" w:color="auto"/>
          </w:divBdr>
          <w:divsChild>
            <w:div w:id="2086995068">
              <w:marLeft w:val="0"/>
              <w:marRight w:val="0"/>
              <w:marTop w:val="0"/>
              <w:marBottom w:val="0"/>
              <w:divBdr>
                <w:top w:val="none" w:sz="0" w:space="0" w:color="auto"/>
                <w:left w:val="none" w:sz="0" w:space="0" w:color="auto"/>
                <w:bottom w:val="none" w:sz="0" w:space="0" w:color="auto"/>
                <w:right w:val="none" w:sz="0" w:space="0" w:color="auto"/>
              </w:divBdr>
            </w:div>
            <w:div w:id="41681259">
              <w:marLeft w:val="0"/>
              <w:marRight w:val="0"/>
              <w:marTop w:val="0"/>
              <w:marBottom w:val="0"/>
              <w:divBdr>
                <w:top w:val="none" w:sz="0" w:space="0" w:color="auto"/>
                <w:left w:val="none" w:sz="0" w:space="0" w:color="auto"/>
                <w:bottom w:val="none" w:sz="0" w:space="0" w:color="auto"/>
                <w:right w:val="none" w:sz="0" w:space="0" w:color="auto"/>
              </w:divBdr>
            </w:div>
            <w:div w:id="1682463030">
              <w:marLeft w:val="0"/>
              <w:marRight w:val="0"/>
              <w:marTop w:val="0"/>
              <w:marBottom w:val="0"/>
              <w:divBdr>
                <w:top w:val="none" w:sz="0" w:space="0" w:color="auto"/>
                <w:left w:val="none" w:sz="0" w:space="0" w:color="auto"/>
                <w:bottom w:val="none" w:sz="0" w:space="0" w:color="auto"/>
                <w:right w:val="none" w:sz="0" w:space="0" w:color="auto"/>
              </w:divBdr>
            </w:div>
          </w:divsChild>
        </w:div>
        <w:div w:id="679240630">
          <w:marLeft w:val="0"/>
          <w:marRight w:val="0"/>
          <w:marTop w:val="0"/>
          <w:marBottom w:val="0"/>
          <w:divBdr>
            <w:top w:val="none" w:sz="0" w:space="0" w:color="auto"/>
            <w:left w:val="none" w:sz="0" w:space="0" w:color="auto"/>
            <w:bottom w:val="none" w:sz="0" w:space="0" w:color="auto"/>
            <w:right w:val="none" w:sz="0" w:space="0" w:color="auto"/>
          </w:divBdr>
        </w:div>
        <w:div w:id="1829128129">
          <w:marLeft w:val="0"/>
          <w:marRight w:val="0"/>
          <w:marTop w:val="0"/>
          <w:marBottom w:val="0"/>
          <w:divBdr>
            <w:top w:val="none" w:sz="0" w:space="0" w:color="auto"/>
            <w:left w:val="none" w:sz="0" w:space="0" w:color="auto"/>
            <w:bottom w:val="none" w:sz="0" w:space="0" w:color="auto"/>
            <w:right w:val="none" w:sz="0" w:space="0" w:color="auto"/>
          </w:divBdr>
        </w:div>
      </w:divsChild>
    </w:div>
    <w:div w:id="1609241333">
      <w:bodyDiv w:val="1"/>
      <w:marLeft w:val="0"/>
      <w:marRight w:val="0"/>
      <w:marTop w:val="0"/>
      <w:marBottom w:val="0"/>
      <w:divBdr>
        <w:top w:val="none" w:sz="0" w:space="0" w:color="auto"/>
        <w:left w:val="none" w:sz="0" w:space="0" w:color="auto"/>
        <w:bottom w:val="none" w:sz="0" w:space="0" w:color="auto"/>
        <w:right w:val="none" w:sz="0" w:space="0" w:color="auto"/>
      </w:divBdr>
      <w:divsChild>
        <w:div w:id="2063014973">
          <w:marLeft w:val="0"/>
          <w:marRight w:val="0"/>
          <w:marTop w:val="0"/>
          <w:marBottom w:val="0"/>
          <w:divBdr>
            <w:top w:val="none" w:sz="0" w:space="0" w:color="auto"/>
            <w:left w:val="none" w:sz="0" w:space="0" w:color="auto"/>
            <w:bottom w:val="none" w:sz="0" w:space="0" w:color="auto"/>
            <w:right w:val="none" w:sz="0" w:space="0" w:color="auto"/>
          </w:divBdr>
          <w:divsChild>
            <w:div w:id="2028142678">
              <w:marLeft w:val="0"/>
              <w:marRight w:val="0"/>
              <w:marTop w:val="0"/>
              <w:marBottom w:val="0"/>
              <w:divBdr>
                <w:top w:val="none" w:sz="0" w:space="0" w:color="auto"/>
                <w:left w:val="none" w:sz="0" w:space="0" w:color="auto"/>
                <w:bottom w:val="none" w:sz="0" w:space="0" w:color="auto"/>
                <w:right w:val="none" w:sz="0" w:space="0" w:color="auto"/>
              </w:divBdr>
              <w:divsChild>
                <w:div w:id="20796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59510">
      <w:bodyDiv w:val="1"/>
      <w:marLeft w:val="0"/>
      <w:marRight w:val="0"/>
      <w:marTop w:val="0"/>
      <w:marBottom w:val="0"/>
      <w:divBdr>
        <w:top w:val="none" w:sz="0" w:space="0" w:color="auto"/>
        <w:left w:val="none" w:sz="0" w:space="0" w:color="auto"/>
        <w:bottom w:val="none" w:sz="0" w:space="0" w:color="auto"/>
        <w:right w:val="none" w:sz="0" w:space="0" w:color="auto"/>
      </w:divBdr>
    </w:div>
    <w:div w:id="1616785525">
      <w:bodyDiv w:val="1"/>
      <w:marLeft w:val="0"/>
      <w:marRight w:val="0"/>
      <w:marTop w:val="0"/>
      <w:marBottom w:val="0"/>
      <w:divBdr>
        <w:top w:val="none" w:sz="0" w:space="0" w:color="auto"/>
        <w:left w:val="none" w:sz="0" w:space="0" w:color="auto"/>
        <w:bottom w:val="none" w:sz="0" w:space="0" w:color="auto"/>
        <w:right w:val="none" w:sz="0" w:space="0" w:color="auto"/>
      </w:divBdr>
      <w:divsChild>
        <w:div w:id="2120683120">
          <w:marLeft w:val="0"/>
          <w:marRight w:val="0"/>
          <w:marTop w:val="0"/>
          <w:marBottom w:val="0"/>
          <w:divBdr>
            <w:top w:val="none" w:sz="0" w:space="0" w:color="auto"/>
            <w:left w:val="none" w:sz="0" w:space="0" w:color="auto"/>
            <w:bottom w:val="none" w:sz="0" w:space="0" w:color="auto"/>
            <w:right w:val="none" w:sz="0" w:space="0" w:color="auto"/>
          </w:divBdr>
          <w:divsChild>
            <w:div w:id="971979733">
              <w:marLeft w:val="0"/>
              <w:marRight w:val="0"/>
              <w:marTop w:val="0"/>
              <w:marBottom w:val="0"/>
              <w:divBdr>
                <w:top w:val="none" w:sz="0" w:space="0" w:color="auto"/>
                <w:left w:val="none" w:sz="0" w:space="0" w:color="auto"/>
                <w:bottom w:val="none" w:sz="0" w:space="0" w:color="auto"/>
                <w:right w:val="none" w:sz="0" w:space="0" w:color="auto"/>
              </w:divBdr>
              <w:divsChild>
                <w:div w:id="1664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2336">
      <w:bodyDiv w:val="1"/>
      <w:marLeft w:val="0"/>
      <w:marRight w:val="0"/>
      <w:marTop w:val="0"/>
      <w:marBottom w:val="0"/>
      <w:divBdr>
        <w:top w:val="none" w:sz="0" w:space="0" w:color="auto"/>
        <w:left w:val="none" w:sz="0" w:space="0" w:color="auto"/>
        <w:bottom w:val="none" w:sz="0" w:space="0" w:color="auto"/>
        <w:right w:val="none" w:sz="0" w:space="0" w:color="auto"/>
      </w:divBdr>
      <w:divsChild>
        <w:div w:id="104468650">
          <w:marLeft w:val="0"/>
          <w:marRight w:val="0"/>
          <w:marTop w:val="0"/>
          <w:marBottom w:val="0"/>
          <w:divBdr>
            <w:top w:val="none" w:sz="0" w:space="0" w:color="auto"/>
            <w:left w:val="none" w:sz="0" w:space="0" w:color="auto"/>
            <w:bottom w:val="none" w:sz="0" w:space="0" w:color="auto"/>
            <w:right w:val="none" w:sz="0" w:space="0" w:color="auto"/>
          </w:divBdr>
          <w:divsChild>
            <w:div w:id="1950967228">
              <w:marLeft w:val="0"/>
              <w:marRight w:val="0"/>
              <w:marTop w:val="0"/>
              <w:marBottom w:val="0"/>
              <w:divBdr>
                <w:top w:val="none" w:sz="0" w:space="0" w:color="auto"/>
                <w:left w:val="none" w:sz="0" w:space="0" w:color="auto"/>
                <w:bottom w:val="none" w:sz="0" w:space="0" w:color="auto"/>
                <w:right w:val="none" w:sz="0" w:space="0" w:color="auto"/>
              </w:divBdr>
              <w:divsChild>
                <w:div w:id="10368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4838">
      <w:bodyDiv w:val="1"/>
      <w:marLeft w:val="0"/>
      <w:marRight w:val="0"/>
      <w:marTop w:val="0"/>
      <w:marBottom w:val="0"/>
      <w:divBdr>
        <w:top w:val="none" w:sz="0" w:space="0" w:color="auto"/>
        <w:left w:val="none" w:sz="0" w:space="0" w:color="auto"/>
        <w:bottom w:val="none" w:sz="0" w:space="0" w:color="auto"/>
        <w:right w:val="none" w:sz="0" w:space="0" w:color="auto"/>
      </w:divBdr>
      <w:divsChild>
        <w:div w:id="1278026904">
          <w:marLeft w:val="0"/>
          <w:marRight w:val="0"/>
          <w:marTop w:val="0"/>
          <w:marBottom w:val="0"/>
          <w:divBdr>
            <w:top w:val="none" w:sz="0" w:space="0" w:color="auto"/>
            <w:left w:val="none" w:sz="0" w:space="0" w:color="auto"/>
            <w:bottom w:val="none" w:sz="0" w:space="0" w:color="auto"/>
            <w:right w:val="none" w:sz="0" w:space="0" w:color="auto"/>
          </w:divBdr>
          <w:divsChild>
            <w:div w:id="1002706927">
              <w:marLeft w:val="0"/>
              <w:marRight w:val="0"/>
              <w:marTop w:val="0"/>
              <w:marBottom w:val="0"/>
              <w:divBdr>
                <w:top w:val="none" w:sz="0" w:space="0" w:color="auto"/>
                <w:left w:val="none" w:sz="0" w:space="0" w:color="auto"/>
                <w:bottom w:val="none" w:sz="0" w:space="0" w:color="auto"/>
                <w:right w:val="none" w:sz="0" w:space="0" w:color="auto"/>
              </w:divBdr>
              <w:divsChild>
                <w:div w:id="12584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7991">
      <w:bodyDiv w:val="1"/>
      <w:marLeft w:val="0"/>
      <w:marRight w:val="0"/>
      <w:marTop w:val="0"/>
      <w:marBottom w:val="0"/>
      <w:divBdr>
        <w:top w:val="none" w:sz="0" w:space="0" w:color="auto"/>
        <w:left w:val="none" w:sz="0" w:space="0" w:color="auto"/>
        <w:bottom w:val="none" w:sz="0" w:space="0" w:color="auto"/>
        <w:right w:val="none" w:sz="0" w:space="0" w:color="auto"/>
      </w:divBdr>
      <w:divsChild>
        <w:div w:id="1226986478">
          <w:marLeft w:val="0"/>
          <w:marRight w:val="0"/>
          <w:marTop w:val="0"/>
          <w:marBottom w:val="0"/>
          <w:divBdr>
            <w:top w:val="none" w:sz="0" w:space="0" w:color="auto"/>
            <w:left w:val="none" w:sz="0" w:space="0" w:color="auto"/>
            <w:bottom w:val="none" w:sz="0" w:space="0" w:color="auto"/>
            <w:right w:val="none" w:sz="0" w:space="0" w:color="auto"/>
          </w:divBdr>
          <w:divsChild>
            <w:div w:id="2065062893">
              <w:marLeft w:val="0"/>
              <w:marRight w:val="0"/>
              <w:marTop w:val="0"/>
              <w:marBottom w:val="0"/>
              <w:divBdr>
                <w:top w:val="none" w:sz="0" w:space="0" w:color="auto"/>
                <w:left w:val="none" w:sz="0" w:space="0" w:color="auto"/>
                <w:bottom w:val="none" w:sz="0" w:space="0" w:color="auto"/>
                <w:right w:val="none" w:sz="0" w:space="0" w:color="auto"/>
              </w:divBdr>
              <w:divsChild>
                <w:div w:id="6543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36214">
      <w:bodyDiv w:val="1"/>
      <w:marLeft w:val="0"/>
      <w:marRight w:val="0"/>
      <w:marTop w:val="0"/>
      <w:marBottom w:val="0"/>
      <w:divBdr>
        <w:top w:val="none" w:sz="0" w:space="0" w:color="auto"/>
        <w:left w:val="none" w:sz="0" w:space="0" w:color="auto"/>
        <w:bottom w:val="none" w:sz="0" w:space="0" w:color="auto"/>
        <w:right w:val="none" w:sz="0" w:space="0" w:color="auto"/>
      </w:divBdr>
      <w:divsChild>
        <w:div w:id="1714962646">
          <w:marLeft w:val="0"/>
          <w:marRight w:val="0"/>
          <w:marTop w:val="0"/>
          <w:marBottom w:val="0"/>
          <w:divBdr>
            <w:top w:val="none" w:sz="0" w:space="0" w:color="auto"/>
            <w:left w:val="none" w:sz="0" w:space="0" w:color="auto"/>
            <w:bottom w:val="none" w:sz="0" w:space="0" w:color="auto"/>
            <w:right w:val="none" w:sz="0" w:space="0" w:color="auto"/>
          </w:divBdr>
          <w:divsChild>
            <w:div w:id="727144680">
              <w:marLeft w:val="0"/>
              <w:marRight w:val="0"/>
              <w:marTop w:val="0"/>
              <w:marBottom w:val="0"/>
              <w:divBdr>
                <w:top w:val="none" w:sz="0" w:space="0" w:color="auto"/>
                <w:left w:val="none" w:sz="0" w:space="0" w:color="auto"/>
                <w:bottom w:val="none" w:sz="0" w:space="0" w:color="auto"/>
                <w:right w:val="none" w:sz="0" w:space="0" w:color="auto"/>
              </w:divBdr>
              <w:divsChild>
                <w:div w:id="109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76581">
      <w:bodyDiv w:val="1"/>
      <w:marLeft w:val="0"/>
      <w:marRight w:val="0"/>
      <w:marTop w:val="0"/>
      <w:marBottom w:val="0"/>
      <w:divBdr>
        <w:top w:val="none" w:sz="0" w:space="0" w:color="auto"/>
        <w:left w:val="none" w:sz="0" w:space="0" w:color="auto"/>
        <w:bottom w:val="none" w:sz="0" w:space="0" w:color="auto"/>
        <w:right w:val="none" w:sz="0" w:space="0" w:color="auto"/>
      </w:divBdr>
      <w:divsChild>
        <w:div w:id="1566256133">
          <w:marLeft w:val="0"/>
          <w:marRight w:val="0"/>
          <w:marTop w:val="0"/>
          <w:marBottom w:val="0"/>
          <w:divBdr>
            <w:top w:val="none" w:sz="0" w:space="0" w:color="auto"/>
            <w:left w:val="none" w:sz="0" w:space="0" w:color="auto"/>
            <w:bottom w:val="none" w:sz="0" w:space="0" w:color="auto"/>
            <w:right w:val="none" w:sz="0" w:space="0" w:color="auto"/>
          </w:divBdr>
          <w:divsChild>
            <w:div w:id="874537773">
              <w:marLeft w:val="0"/>
              <w:marRight w:val="0"/>
              <w:marTop w:val="0"/>
              <w:marBottom w:val="0"/>
              <w:divBdr>
                <w:top w:val="none" w:sz="0" w:space="0" w:color="auto"/>
                <w:left w:val="none" w:sz="0" w:space="0" w:color="auto"/>
                <w:bottom w:val="none" w:sz="0" w:space="0" w:color="auto"/>
                <w:right w:val="none" w:sz="0" w:space="0" w:color="auto"/>
              </w:divBdr>
              <w:divsChild>
                <w:div w:id="394397708">
                  <w:marLeft w:val="0"/>
                  <w:marRight w:val="0"/>
                  <w:marTop w:val="0"/>
                  <w:marBottom w:val="0"/>
                  <w:divBdr>
                    <w:top w:val="none" w:sz="0" w:space="0" w:color="auto"/>
                    <w:left w:val="none" w:sz="0" w:space="0" w:color="auto"/>
                    <w:bottom w:val="none" w:sz="0" w:space="0" w:color="auto"/>
                    <w:right w:val="none" w:sz="0" w:space="0" w:color="auto"/>
                  </w:divBdr>
                  <w:divsChild>
                    <w:div w:id="20326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82895">
      <w:bodyDiv w:val="1"/>
      <w:marLeft w:val="0"/>
      <w:marRight w:val="0"/>
      <w:marTop w:val="0"/>
      <w:marBottom w:val="0"/>
      <w:divBdr>
        <w:top w:val="none" w:sz="0" w:space="0" w:color="auto"/>
        <w:left w:val="none" w:sz="0" w:space="0" w:color="auto"/>
        <w:bottom w:val="none" w:sz="0" w:space="0" w:color="auto"/>
        <w:right w:val="none" w:sz="0" w:space="0" w:color="auto"/>
      </w:divBdr>
      <w:divsChild>
        <w:div w:id="1039890683">
          <w:marLeft w:val="0"/>
          <w:marRight w:val="0"/>
          <w:marTop w:val="0"/>
          <w:marBottom w:val="0"/>
          <w:divBdr>
            <w:top w:val="none" w:sz="0" w:space="0" w:color="auto"/>
            <w:left w:val="none" w:sz="0" w:space="0" w:color="auto"/>
            <w:bottom w:val="none" w:sz="0" w:space="0" w:color="auto"/>
            <w:right w:val="none" w:sz="0" w:space="0" w:color="auto"/>
          </w:divBdr>
        </w:div>
      </w:divsChild>
    </w:div>
    <w:div w:id="1681277918">
      <w:bodyDiv w:val="1"/>
      <w:marLeft w:val="0"/>
      <w:marRight w:val="0"/>
      <w:marTop w:val="0"/>
      <w:marBottom w:val="0"/>
      <w:divBdr>
        <w:top w:val="none" w:sz="0" w:space="0" w:color="auto"/>
        <w:left w:val="none" w:sz="0" w:space="0" w:color="auto"/>
        <w:bottom w:val="none" w:sz="0" w:space="0" w:color="auto"/>
        <w:right w:val="none" w:sz="0" w:space="0" w:color="auto"/>
      </w:divBdr>
    </w:div>
    <w:div w:id="1687704972">
      <w:bodyDiv w:val="1"/>
      <w:marLeft w:val="0"/>
      <w:marRight w:val="0"/>
      <w:marTop w:val="0"/>
      <w:marBottom w:val="0"/>
      <w:divBdr>
        <w:top w:val="none" w:sz="0" w:space="0" w:color="auto"/>
        <w:left w:val="none" w:sz="0" w:space="0" w:color="auto"/>
        <w:bottom w:val="none" w:sz="0" w:space="0" w:color="auto"/>
        <w:right w:val="none" w:sz="0" w:space="0" w:color="auto"/>
      </w:divBdr>
    </w:div>
    <w:div w:id="1697920868">
      <w:bodyDiv w:val="1"/>
      <w:marLeft w:val="0"/>
      <w:marRight w:val="0"/>
      <w:marTop w:val="0"/>
      <w:marBottom w:val="0"/>
      <w:divBdr>
        <w:top w:val="none" w:sz="0" w:space="0" w:color="auto"/>
        <w:left w:val="none" w:sz="0" w:space="0" w:color="auto"/>
        <w:bottom w:val="none" w:sz="0" w:space="0" w:color="auto"/>
        <w:right w:val="none" w:sz="0" w:space="0" w:color="auto"/>
      </w:divBdr>
      <w:divsChild>
        <w:div w:id="1932080808">
          <w:marLeft w:val="0"/>
          <w:marRight w:val="0"/>
          <w:marTop w:val="0"/>
          <w:marBottom w:val="0"/>
          <w:divBdr>
            <w:top w:val="none" w:sz="0" w:space="0" w:color="auto"/>
            <w:left w:val="none" w:sz="0" w:space="0" w:color="auto"/>
            <w:bottom w:val="none" w:sz="0" w:space="0" w:color="auto"/>
            <w:right w:val="none" w:sz="0" w:space="0" w:color="auto"/>
          </w:divBdr>
          <w:divsChild>
            <w:div w:id="674109805">
              <w:marLeft w:val="0"/>
              <w:marRight w:val="0"/>
              <w:marTop w:val="0"/>
              <w:marBottom w:val="0"/>
              <w:divBdr>
                <w:top w:val="none" w:sz="0" w:space="0" w:color="auto"/>
                <w:left w:val="none" w:sz="0" w:space="0" w:color="auto"/>
                <w:bottom w:val="none" w:sz="0" w:space="0" w:color="auto"/>
                <w:right w:val="none" w:sz="0" w:space="0" w:color="auto"/>
              </w:divBdr>
              <w:divsChild>
                <w:div w:id="3378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1034">
      <w:bodyDiv w:val="1"/>
      <w:marLeft w:val="0"/>
      <w:marRight w:val="0"/>
      <w:marTop w:val="0"/>
      <w:marBottom w:val="0"/>
      <w:divBdr>
        <w:top w:val="none" w:sz="0" w:space="0" w:color="auto"/>
        <w:left w:val="none" w:sz="0" w:space="0" w:color="auto"/>
        <w:bottom w:val="none" w:sz="0" w:space="0" w:color="auto"/>
        <w:right w:val="none" w:sz="0" w:space="0" w:color="auto"/>
      </w:divBdr>
      <w:divsChild>
        <w:div w:id="619452467">
          <w:marLeft w:val="0"/>
          <w:marRight w:val="0"/>
          <w:marTop w:val="0"/>
          <w:marBottom w:val="0"/>
          <w:divBdr>
            <w:top w:val="none" w:sz="0" w:space="0" w:color="auto"/>
            <w:left w:val="none" w:sz="0" w:space="0" w:color="auto"/>
            <w:bottom w:val="none" w:sz="0" w:space="0" w:color="auto"/>
            <w:right w:val="none" w:sz="0" w:space="0" w:color="auto"/>
          </w:divBdr>
          <w:divsChild>
            <w:div w:id="789057935">
              <w:marLeft w:val="0"/>
              <w:marRight w:val="0"/>
              <w:marTop w:val="0"/>
              <w:marBottom w:val="0"/>
              <w:divBdr>
                <w:top w:val="none" w:sz="0" w:space="0" w:color="auto"/>
                <w:left w:val="none" w:sz="0" w:space="0" w:color="auto"/>
                <w:bottom w:val="none" w:sz="0" w:space="0" w:color="auto"/>
                <w:right w:val="none" w:sz="0" w:space="0" w:color="auto"/>
              </w:divBdr>
              <w:divsChild>
                <w:div w:id="21047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51342">
      <w:bodyDiv w:val="1"/>
      <w:marLeft w:val="0"/>
      <w:marRight w:val="0"/>
      <w:marTop w:val="0"/>
      <w:marBottom w:val="0"/>
      <w:divBdr>
        <w:top w:val="none" w:sz="0" w:space="0" w:color="auto"/>
        <w:left w:val="none" w:sz="0" w:space="0" w:color="auto"/>
        <w:bottom w:val="none" w:sz="0" w:space="0" w:color="auto"/>
        <w:right w:val="none" w:sz="0" w:space="0" w:color="auto"/>
      </w:divBdr>
    </w:div>
    <w:div w:id="1712151781">
      <w:bodyDiv w:val="1"/>
      <w:marLeft w:val="0"/>
      <w:marRight w:val="0"/>
      <w:marTop w:val="0"/>
      <w:marBottom w:val="0"/>
      <w:divBdr>
        <w:top w:val="none" w:sz="0" w:space="0" w:color="auto"/>
        <w:left w:val="none" w:sz="0" w:space="0" w:color="auto"/>
        <w:bottom w:val="none" w:sz="0" w:space="0" w:color="auto"/>
        <w:right w:val="none" w:sz="0" w:space="0" w:color="auto"/>
      </w:divBdr>
    </w:div>
    <w:div w:id="1720324953">
      <w:bodyDiv w:val="1"/>
      <w:marLeft w:val="0"/>
      <w:marRight w:val="0"/>
      <w:marTop w:val="0"/>
      <w:marBottom w:val="0"/>
      <w:divBdr>
        <w:top w:val="none" w:sz="0" w:space="0" w:color="auto"/>
        <w:left w:val="none" w:sz="0" w:space="0" w:color="auto"/>
        <w:bottom w:val="none" w:sz="0" w:space="0" w:color="auto"/>
        <w:right w:val="none" w:sz="0" w:space="0" w:color="auto"/>
      </w:divBdr>
      <w:divsChild>
        <w:div w:id="2036298372">
          <w:marLeft w:val="0"/>
          <w:marRight w:val="0"/>
          <w:marTop w:val="0"/>
          <w:marBottom w:val="0"/>
          <w:divBdr>
            <w:top w:val="none" w:sz="0" w:space="0" w:color="auto"/>
            <w:left w:val="none" w:sz="0" w:space="0" w:color="auto"/>
            <w:bottom w:val="none" w:sz="0" w:space="0" w:color="auto"/>
            <w:right w:val="none" w:sz="0" w:space="0" w:color="auto"/>
          </w:divBdr>
          <w:divsChild>
            <w:div w:id="1345472697">
              <w:marLeft w:val="0"/>
              <w:marRight w:val="0"/>
              <w:marTop w:val="0"/>
              <w:marBottom w:val="0"/>
              <w:divBdr>
                <w:top w:val="none" w:sz="0" w:space="0" w:color="auto"/>
                <w:left w:val="none" w:sz="0" w:space="0" w:color="auto"/>
                <w:bottom w:val="none" w:sz="0" w:space="0" w:color="auto"/>
                <w:right w:val="none" w:sz="0" w:space="0" w:color="auto"/>
              </w:divBdr>
              <w:divsChild>
                <w:div w:id="14824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50951">
      <w:bodyDiv w:val="1"/>
      <w:marLeft w:val="0"/>
      <w:marRight w:val="0"/>
      <w:marTop w:val="0"/>
      <w:marBottom w:val="0"/>
      <w:divBdr>
        <w:top w:val="none" w:sz="0" w:space="0" w:color="auto"/>
        <w:left w:val="none" w:sz="0" w:space="0" w:color="auto"/>
        <w:bottom w:val="none" w:sz="0" w:space="0" w:color="auto"/>
        <w:right w:val="none" w:sz="0" w:space="0" w:color="auto"/>
      </w:divBdr>
      <w:divsChild>
        <w:div w:id="9573974">
          <w:marLeft w:val="0"/>
          <w:marRight w:val="0"/>
          <w:marTop w:val="0"/>
          <w:marBottom w:val="0"/>
          <w:divBdr>
            <w:top w:val="none" w:sz="0" w:space="0" w:color="auto"/>
            <w:left w:val="none" w:sz="0" w:space="0" w:color="auto"/>
            <w:bottom w:val="none" w:sz="0" w:space="0" w:color="auto"/>
            <w:right w:val="none" w:sz="0" w:space="0" w:color="auto"/>
          </w:divBdr>
          <w:divsChild>
            <w:div w:id="613024811">
              <w:marLeft w:val="0"/>
              <w:marRight w:val="0"/>
              <w:marTop w:val="0"/>
              <w:marBottom w:val="0"/>
              <w:divBdr>
                <w:top w:val="none" w:sz="0" w:space="0" w:color="auto"/>
                <w:left w:val="none" w:sz="0" w:space="0" w:color="auto"/>
                <w:bottom w:val="none" w:sz="0" w:space="0" w:color="auto"/>
                <w:right w:val="none" w:sz="0" w:space="0" w:color="auto"/>
              </w:divBdr>
              <w:divsChild>
                <w:div w:id="1409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426">
      <w:bodyDiv w:val="1"/>
      <w:marLeft w:val="0"/>
      <w:marRight w:val="0"/>
      <w:marTop w:val="0"/>
      <w:marBottom w:val="0"/>
      <w:divBdr>
        <w:top w:val="none" w:sz="0" w:space="0" w:color="auto"/>
        <w:left w:val="none" w:sz="0" w:space="0" w:color="auto"/>
        <w:bottom w:val="none" w:sz="0" w:space="0" w:color="auto"/>
        <w:right w:val="none" w:sz="0" w:space="0" w:color="auto"/>
      </w:divBdr>
    </w:div>
    <w:div w:id="1727874725">
      <w:bodyDiv w:val="1"/>
      <w:marLeft w:val="0"/>
      <w:marRight w:val="0"/>
      <w:marTop w:val="0"/>
      <w:marBottom w:val="0"/>
      <w:divBdr>
        <w:top w:val="none" w:sz="0" w:space="0" w:color="auto"/>
        <w:left w:val="none" w:sz="0" w:space="0" w:color="auto"/>
        <w:bottom w:val="none" w:sz="0" w:space="0" w:color="auto"/>
        <w:right w:val="none" w:sz="0" w:space="0" w:color="auto"/>
      </w:divBdr>
      <w:divsChild>
        <w:div w:id="1400982466">
          <w:marLeft w:val="0"/>
          <w:marRight w:val="0"/>
          <w:marTop w:val="0"/>
          <w:marBottom w:val="0"/>
          <w:divBdr>
            <w:top w:val="none" w:sz="0" w:space="0" w:color="auto"/>
            <w:left w:val="none" w:sz="0" w:space="0" w:color="auto"/>
            <w:bottom w:val="none" w:sz="0" w:space="0" w:color="auto"/>
            <w:right w:val="none" w:sz="0" w:space="0" w:color="auto"/>
          </w:divBdr>
          <w:divsChild>
            <w:div w:id="1730300895">
              <w:marLeft w:val="0"/>
              <w:marRight w:val="0"/>
              <w:marTop w:val="0"/>
              <w:marBottom w:val="0"/>
              <w:divBdr>
                <w:top w:val="none" w:sz="0" w:space="0" w:color="auto"/>
                <w:left w:val="none" w:sz="0" w:space="0" w:color="auto"/>
                <w:bottom w:val="none" w:sz="0" w:space="0" w:color="auto"/>
                <w:right w:val="none" w:sz="0" w:space="0" w:color="auto"/>
              </w:divBdr>
              <w:divsChild>
                <w:div w:id="6906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7739">
      <w:bodyDiv w:val="1"/>
      <w:marLeft w:val="0"/>
      <w:marRight w:val="0"/>
      <w:marTop w:val="0"/>
      <w:marBottom w:val="0"/>
      <w:divBdr>
        <w:top w:val="none" w:sz="0" w:space="0" w:color="auto"/>
        <w:left w:val="none" w:sz="0" w:space="0" w:color="auto"/>
        <w:bottom w:val="none" w:sz="0" w:space="0" w:color="auto"/>
        <w:right w:val="none" w:sz="0" w:space="0" w:color="auto"/>
      </w:divBdr>
      <w:divsChild>
        <w:div w:id="2096976100">
          <w:marLeft w:val="0"/>
          <w:marRight w:val="0"/>
          <w:marTop w:val="0"/>
          <w:marBottom w:val="0"/>
          <w:divBdr>
            <w:top w:val="none" w:sz="0" w:space="0" w:color="auto"/>
            <w:left w:val="none" w:sz="0" w:space="0" w:color="auto"/>
            <w:bottom w:val="none" w:sz="0" w:space="0" w:color="auto"/>
            <w:right w:val="none" w:sz="0" w:space="0" w:color="auto"/>
          </w:divBdr>
          <w:divsChild>
            <w:div w:id="1344940465">
              <w:marLeft w:val="0"/>
              <w:marRight w:val="0"/>
              <w:marTop w:val="0"/>
              <w:marBottom w:val="0"/>
              <w:divBdr>
                <w:top w:val="none" w:sz="0" w:space="0" w:color="auto"/>
                <w:left w:val="none" w:sz="0" w:space="0" w:color="auto"/>
                <w:bottom w:val="none" w:sz="0" w:space="0" w:color="auto"/>
                <w:right w:val="none" w:sz="0" w:space="0" w:color="auto"/>
              </w:divBdr>
              <w:divsChild>
                <w:div w:id="18913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0171">
      <w:bodyDiv w:val="1"/>
      <w:marLeft w:val="0"/>
      <w:marRight w:val="0"/>
      <w:marTop w:val="0"/>
      <w:marBottom w:val="0"/>
      <w:divBdr>
        <w:top w:val="none" w:sz="0" w:space="0" w:color="auto"/>
        <w:left w:val="none" w:sz="0" w:space="0" w:color="auto"/>
        <w:bottom w:val="none" w:sz="0" w:space="0" w:color="auto"/>
        <w:right w:val="none" w:sz="0" w:space="0" w:color="auto"/>
      </w:divBdr>
    </w:div>
    <w:div w:id="1747801041">
      <w:bodyDiv w:val="1"/>
      <w:marLeft w:val="0"/>
      <w:marRight w:val="0"/>
      <w:marTop w:val="0"/>
      <w:marBottom w:val="0"/>
      <w:divBdr>
        <w:top w:val="none" w:sz="0" w:space="0" w:color="auto"/>
        <w:left w:val="none" w:sz="0" w:space="0" w:color="auto"/>
        <w:bottom w:val="none" w:sz="0" w:space="0" w:color="auto"/>
        <w:right w:val="none" w:sz="0" w:space="0" w:color="auto"/>
      </w:divBdr>
      <w:divsChild>
        <w:div w:id="1778061319">
          <w:marLeft w:val="0"/>
          <w:marRight w:val="0"/>
          <w:marTop w:val="0"/>
          <w:marBottom w:val="0"/>
          <w:divBdr>
            <w:top w:val="none" w:sz="0" w:space="0" w:color="auto"/>
            <w:left w:val="none" w:sz="0" w:space="0" w:color="auto"/>
            <w:bottom w:val="none" w:sz="0" w:space="0" w:color="auto"/>
            <w:right w:val="none" w:sz="0" w:space="0" w:color="auto"/>
          </w:divBdr>
          <w:divsChild>
            <w:div w:id="2120637045">
              <w:marLeft w:val="0"/>
              <w:marRight w:val="0"/>
              <w:marTop w:val="0"/>
              <w:marBottom w:val="0"/>
              <w:divBdr>
                <w:top w:val="none" w:sz="0" w:space="0" w:color="auto"/>
                <w:left w:val="none" w:sz="0" w:space="0" w:color="auto"/>
                <w:bottom w:val="none" w:sz="0" w:space="0" w:color="auto"/>
                <w:right w:val="none" w:sz="0" w:space="0" w:color="auto"/>
              </w:divBdr>
              <w:divsChild>
                <w:div w:id="1587107269">
                  <w:marLeft w:val="0"/>
                  <w:marRight w:val="0"/>
                  <w:marTop w:val="0"/>
                  <w:marBottom w:val="0"/>
                  <w:divBdr>
                    <w:top w:val="none" w:sz="0" w:space="0" w:color="auto"/>
                    <w:left w:val="none" w:sz="0" w:space="0" w:color="auto"/>
                    <w:bottom w:val="none" w:sz="0" w:space="0" w:color="auto"/>
                    <w:right w:val="none" w:sz="0" w:space="0" w:color="auto"/>
                  </w:divBdr>
                  <w:divsChild>
                    <w:div w:id="1028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82725">
      <w:bodyDiv w:val="1"/>
      <w:marLeft w:val="0"/>
      <w:marRight w:val="0"/>
      <w:marTop w:val="0"/>
      <w:marBottom w:val="0"/>
      <w:divBdr>
        <w:top w:val="none" w:sz="0" w:space="0" w:color="auto"/>
        <w:left w:val="none" w:sz="0" w:space="0" w:color="auto"/>
        <w:bottom w:val="none" w:sz="0" w:space="0" w:color="auto"/>
        <w:right w:val="none" w:sz="0" w:space="0" w:color="auto"/>
      </w:divBdr>
      <w:divsChild>
        <w:div w:id="2077972999">
          <w:marLeft w:val="0"/>
          <w:marRight w:val="0"/>
          <w:marTop w:val="0"/>
          <w:marBottom w:val="0"/>
          <w:divBdr>
            <w:top w:val="none" w:sz="0" w:space="0" w:color="auto"/>
            <w:left w:val="none" w:sz="0" w:space="0" w:color="auto"/>
            <w:bottom w:val="none" w:sz="0" w:space="0" w:color="auto"/>
            <w:right w:val="none" w:sz="0" w:space="0" w:color="auto"/>
          </w:divBdr>
          <w:divsChild>
            <w:div w:id="1415737805">
              <w:marLeft w:val="0"/>
              <w:marRight w:val="0"/>
              <w:marTop w:val="0"/>
              <w:marBottom w:val="0"/>
              <w:divBdr>
                <w:top w:val="none" w:sz="0" w:space="0" w:color="auto"/>
                <w:left w:val="none" w:sz="0" w:space="0" w:color="auto"/>
                <w:bottom w:val="none" w:sz="0" w:space="0" w:color="auto"/>
                <w:right w:val="none" w:sz="0" w:space="0" w:color="auto"/>
              </w:divBdr>
              <w:divsChild>
                <w:div w:id="767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8699">
      <w:bodyDiv w:val="1"/>
      <w:marLeft w:val="0"/>
      <w:marRight w:val="0"/>
      <w:marTop w:val="0"/>
      <w:marBottom w:val="0"/>
      <w:divBdr>
        <w:top w:val="none" w:sz="0" w:space="0" w:color="auto"/>
        <w:left w:val="none" w:sz="0" w:space="0" w:color="auto"/>
        <w:bottom w:val="none" w:sz="0" w:space="0" w:color="auto"/>
        <w:right w:val="none" w:sz="0" w:space="0" w:color="auto"/>
      </w:divBdr>
      <w:divsChild>
        <w:div w:id="606035947">
          <w:marLeft w:val="0"/>
          <w:marRight w:val="0"/>
          <w:marTop w:val="0"/>
          <w:marBottom w:val="0"/>
          <w:divBdr>
            <w:top w:val="none" w:sz="0" w:space="0" w:color="auto"/>
            <w:left w:val="none" w:sz="0" w:space="0" w:color="auto"/>
            <w:bottom w:val="none" w:sz="0" w:space="0" w:color="auto"/>
            <w:right w:val="none" w:sz="0" w:space="0" w:color="auto"/>
          </w:divBdr>
          <w:divsChild>
            <w:div w:id="664435391">
              <w:marLeft w:val="0"/>
              <w:marRight w:val="0"/>
              <w:marTop w:val="0"/>
              <w:marBottom w:val="0"/>
              <w:divBdr>
                <w:top w:val="none" w:sz="0" w:space="0" w:color="auto"/>
                <w:left w:val="none" w:sz="0" w:space="0" w:color="auto"/>
                <w:bottom w:val="none" w:sz="0" w:space="0" w:color="auto"/>
                <w:right w:val="none" w:sz="0" w:space="0" w:color="auto"/>
              </w:divBdr>
              <w:divsChild>
                <w:div w:id="11342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1124">
      <w:bodyDiv w:val="1"/>
      <w:marLeft w:val="0"/>
      <w:marRight w:val="0"/>
      <w:marTop w:val="0"/>
      <w:marBottom w:val="0"/>
      <w:divBdr>
        <w:top w:val="none" w:sz="0" w:space="0" w:color="auto"/>
        <w:left w:val="none" w:sz="0" w:space="0" w:color="auto"/>
        <w:bottom w:val="none" w:sz="0" w:space="0" w:color="auto"/>
        <w:right w:val="none" w:sz="0" w:space="0" w:color="auto"/>
      </w:divBdr>
      <w:divsChild>
        <w:div w:id="643511639">
          <w:marLeft w:val="0"/>
          <w:marRight w:val="0"/>
          <w:marTop w:val="0"/>
          <w:marBottom w:val="0"/>
          <w:divBdr>
            <w:top w:val="none" w:sz="0" w:space="0" w:color="auto"/>
            <w:left w:val="none" w:sz="0" w:space="0" w:color="auto"/>
            <w:bottom w:val="none" w:sz="0" w:space="0" w:color="auto"/>
            <w:right w:val="none" w:sz="0" w:space="0" w:color="auto"/>
          </w:divBdr>
          <w:divsChild>
            <w:div w:id="465514273">
              <w:marLeft w:val="0"/>
              <w:marRight w:val="0"/>
              <w:marTop w:val="0"/>
              <w:marBottom w:val="0"/>
              <w:divBdr>
                <w:top w:val="none" w:sz="0" w:space="0" w:color="auto"/>
                <w:left w:val="none" w:sz="0" w:space="0" w:color="auto"/>
                <w:bottom w:val="none" w:sz="0" w:space="0" w:color="auto"/>
                <w:right w:val="none" w:sz="0" w:space="0" w:color="auto"/>
              </w:divBdr>
              <w:divsChild>
                <w:div w:id="9921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0509">
          <w:marLeft w:val="0"/>
          <w:marRight w:val="0"/>
          <w:marTop w:val="0"/>
          <w:marBottom w:val="0"/>
          <w:divBdr>
            <w:top w:val="none" w:sz="0" w:space="0" w:color="auto"/>
            <w:left w:val="none" w:sz="0" w:space="0" w:color="auto"/>
            <w:bottom w:val="none" w:sz="0" w:space="0" w:color="auto"/>
            <w:right w:val="none" w:sz="0" w:space="0" w:color="auto"/>
          </w:divBdr>
          <w:divsChild>
            <w:div w:id="1905869015">
              <w:marLeft w:val="0"/>
              <w:marRight w:val="0"/>
              <w:marTop w:val="0"/>
              <w:marBottom w:val="0"/>
              <w:divBdr>
                <w:top w:val="none" w:sz="0" w:space="0" w:color="auto"/>
                <w:left w:val="none" w:sz="0" w:space="0" w:color="auto"/>
                <w:bottom w:val="none" w:sz="0" w:space="0" w:color="auto"/>
                <w:right w:val="none" w:sz="0" w:space="0" w:color="auto"/>
              </w:divBdr>
              <w:divsChild>
                <w:div w:id="15918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30986">
      <w:bodyDiv w:val="1"/>
      <w:marLeft w:val="0"/>
      <w:marRight w:val="0"/>
      <w:marTop w:val="0"/>
      <w:marBottom w:val="0"/>
      <w:divBdr>
        <w:top w:val="none" w:sz="0" w:space="0" w:color="auto"/>
        <w:left w:val="none" w:sz="0" w:space="0" w:color="auto"/>
        <w:bottom w:val="none" w:sz="0" w:space="0" w:color="auto"/>
        <w:right w:val="none" w:sz="0" w:space="0" w:color="auto"/>
      </w:divBdr>
      <w:divsChild>
        <w:div w:id="790052941">
          <w:marLeft w:val="0"/>
          <w:marRight w:val="0"/>
          <w:marTop w:val="0"/>
          <w:marBottom w:val="0"/>
          <w:divBdr>
            <w:top w:val="none" w:sz="0" w:space="0" w:color="auto"/>
            <w:left w:val="none" w:sz="0" w:space="0" w:color="auto"/>
            <w:bottom w:val="none" w:sz="0" w:space="0" w:color="auto"/>
            <w:right w:val="none" w:sz="0" w:space="0" w:color="auto"/>
          </w:divBdr>
          <w:divsChild>
            <w:div w:id="1811053998">
              <w:marLeft w:val="0"/>
              <w:marRight w:val="0"/>
              <w:marTop w:val="0"/>
              <w:marBottom w:val="0"/>
              <w:divBdr>
                <w:top w:val="none" w:sz="0" w:space="0" w:color="auto"/>
                <w:left w:val="none" w:sz="0" w:space="0" w:color="auto"/>
                <w:bottom w:val="none" w:sz="0" w:space="0" w:color="auto"/>
                <w:right w:val="none" w:sz="0" w:space="0" w:color="auto"/>
              </w:divBdr>
              <w:divsChild>
                <w:div w:id="17760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4037">
      <w:bodyDiv w:val="1"/>
      <w:marLeft w:val="0"/>
      <w:marRight w:val="0"/>
      <w:marTop w:val="0"/>
      <w:marBottom w:val="0"/>
      <w:divBdr>
        <w:top w:val="none" w:sz="0" w:space="0" w:color="auto"/>
        <w:left w:val="none" w:sz="0" w:space="0" w:color="auto"/>
        <w:bottom w:val="none" w:sz="0" w:space="0" w:color="auto"/>
        <w:right w:val="none" w:sz="0" w:space="0" w:color="auto"/>
      </w:divBdr>
      <w:divsChild>
        <w:div w:id="1005978613">
          <w:marLeft w:val="0"/>
          <w:marRight w:val="0"/>
          <w:marTop w:val="0"/>
          <w:marBottom w:val="0"/>
          <w:divBdr>
            <w:top w:val="none" w:sz="0" w:space="0" w:color="auto"/>
            <w:left w:val="none" w:sz="0" w:space="0" w:color="auto"/>
            <w:bottom w:val="none" w:sz="0" w:space="0" w:color="auto"/>
            <w:right w:val="none" w:sz="0" w:space="0" w:color="auto"/>
          </w:divBdr>
          <w:divsChild>
            <w:div w:id="613557916">
              <w:marLeft w:val="0"/>
              <w:marRight w:val="0"/>
              <w:marTop w:val="0"/>
              <w:marBottom w:val="0"/>
              <w:divBdr>
                <w:top w:val="none" w:sz="0" w:space="0" w:color="auto"/>
                <w:left w:val="none" w:sz="0" w:space="0" w:color="auto"/>
                <w:bottom w:val="none" w:sz="0" w:space="0" w:color="auto"/>
                <w:right w:val="none" w:sz="0" w:space="0" w:color="auto"/>
              </w:divBdr>
              <w:divsChild>
                <w:div w:id="1926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7101">
      <w:bodyDiv w:val="1"/>
      <w:marLeft w:val="0"/>
      <w:marRight w:val="0"/>
      <w:marTop w:val="0"/>
      <w:marBottom w:val="0"/>
      <w:divBdr>
        <w:top w:val="none" w:sz="0" w:space="0" w:color="auto"/>
        <w:left w:val="none" w:sz="0" w:space="0" w:color="auto"/>
        <w:bottom w:val="none" w:sz="0" w:space="0" w:color="auto"/>
        <w:right w:val="none" w:sz="0" w:space="0" w:color="auto"/>
      </w:divBdr>
      <w:divsChild>
        <w:div w:id="1276600606">
          <w:marLeft w:val="0"/>
          <w:marRight w:val="0"/>
          <w:marTop w:val="0"/>
          <w:marBottom w:val="0"/>
          <w:divBdr>
            <w:top w:val="none" w:sz="0" w:space="0" w:color="auto"/>
            <w:left w:val="none" w:sz="0" w:space="0" w:color="auto"/>
            <w:bottom w:val="none" w:sz="0" w:space="0" w:color="auto"/>
            <w:right w:val="none" w:sz="0" w:space="0" w:color="auto"/>
          </w:divBdr>
          <w:divsChild>
            <w:div w:id="505562042">
              <w:marLeft w:val="0"/>
              <w:marRight w:val="0"/>
              <w:marTop w:val="0"/>
              <w:marBottom w:val="0"/>
              <w:divBdr>
                <w:top w:val="none" w:sz="0" w:space="0" w:color="auto"/>
                <w:left w:val="none" w:sz="0" w:space="0" w:color="auto"/>
                <w:bottom w:val="none" w:sz="0" w:space="0" w:color="auto"/>
                <w:right w:val="none" w:sz="0" w:space="0" w:color="auto"/>
              </w:divBdr>
              <w:divsChild>
                <w:div w:id="849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79829">
      <w:bodyDiv w:val="1"/>
      <w:marLeft w:val="0"/>
      <w:marRight w:val="0"/>
      <w:marTop w:val="0"/>
      <w:marBottom w:val="0"/>
      <w:divBdr>
        <w:top w:val="none" w:sz="0" w:space="0" w:color="auto"/>
        <w:left w:val="none" w:sz="0" w:space="0" w:color="auto"/>
        <w:bottom w:val="none" w:sz="0" w:space="0" w:color="auto"/>
        <w:right w:val="none" w:sz="0" w:space="0" w:color="auto"/>
      </w:divBdr>
      <w:divsChild>
        <w:div w:id="1237587362">
          <w:marLeft w:val="0"/>
          <w:marRight w:val="0"/>
          <w:marTop w:val="0"/>
          <w:marBottom w:val="0"/>
          <w:divBdr>
            <w:top w:val="none" w:sz="0" w:space="0" w:color="auto"/>
            <w:left w:val="none" w:sz="0" w:space="0" w:color="auto"/>
            <w:bottom w:val="none" w:sz="0" w:space="0" w:color="auto"/>
            <w:right w:val="none" w:sz="0" w:space="0" w:color="auto"/>
          </w:divBdr>
          <w:divsChild>
            <w:div w:id="1955090833">
              <w:marLeft w:val="0"/>
              <w:marRight w:val="0"/>
              <w:marTop w:val="0"/>
              <w:marBottom w:val="0"/>
              <w:divBdr>
                <w:top w:val="none" w:sz="0" w:space="0" w:color="auto"/>
                <w:left w:val="none" w:sz="0" w:space="0" w:color="auto"/>
                <w:bottom w:val="none" w:sz="0" w:space="0" w:color="auto"/>
                <w:right w:val="none" w:sz="0" w:space="0" w:color="auto"/>
              </w:divBdr>
              <w:divsChild>
                <w:div w:id="9524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1541">
      <w:bodyDiv w:val="1"/>
      <w:marLeft w:val="0"/>
      <w:marRight w:val="0"/>
      <w:marTop w:val="0"/>
      <w:marBottom w:val="0"/>
      <w:divBdr>
        <w:top w:val="none" w:sz="0" w:space="0" w:color="auto"/>
        <w:left w:val="none" w:sz="0" w:space="0" w:color="auto"/>
        <w:bottom w:val="none" w:sz="0" w:space="0" w:color="auto"/>
        <w:right w:val="none" w:sz="0" w:space="0" w:color="auto"/>
      </w:divBdr>
      <w:divsChild>
        <w:div w:id="1428387854">
          <w:marLeft w:val="0"/>
          <w:marRight w:val="0"/>
          <w:marTop w:val="0"/>
          <w:marBottom w:val="0"/>
          <w:divBdr>
            <w:top w:val="none" w:sz="0" w:space="0" w:color="auto"/>
            <w:left w:val="none" w:sz="0" w:space="0" w:color="auto"/>
            <w:bottom w:val="none" w:sz="0" w:space="0" w:color="auto"/>
            <w:right w:val="none" w:sz="0" w:space="0" w:color="auto"/>
          </w:divBdr>
          <w:divsChild>
            <w:div w:id="916593021">
              <w:marLeft w:val="0"/>
              <w:marRight w:val="0"/>
              <w:marTop w:val="0"/>
              <w:marBottom w:val="0"/>
              <w:divBdr>
                <w:top w:val="none" w:sz="0" w:space="0" w:color="auto"/>
                <w:left w:val="none" w:sz="0" w:space="0" w:color="auto"/>
                <w:bottom w:val="none" w:sz="0" w:space="0" w:color="auto"/>
                <w:right w:val="none" w:sz="0" w:space="0" w:color="auto"/>
              </w:divBdr>
              <w:divsChild>
                <w:div w:id="536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58495">
      <w:bodyDiv w:val="1"/>
      <w:marLeft w:val="0"/>
      <w:marRight w:val="0"/>
      <w:marTop w:val="0"/>
      <w:marBottom w:val="0"/>
      <w:divBdr>
        <w:top w:val="none" w:sz="0" w:space="0" w:color="auto"/>
        <w:left w:val="none" w:sz="0" w:space="0" w:color="auto"/>
        <w:bottom w:val="none" w:sz="0" w:space="0" w:color="auto"/>
        <w:right w:val="none" w:sz="0" w:space="0" w:color="auto"/>
      </w:divBdr>
      <w:divsChild>
        <w:div w:id="726075645">
          <w:marLeft w:val="0"/>
          <w:marRight w:val="0"/>
          <w:marTop w:val="0"/>
          <w:marBottom w:val="0"/>
          <w:divBdr>
            <w:top w:val="none" w:sz="0" w:space="0" w:color="auto"/>
            <w:left w:val="none" w:sz="0" w:space="0" w:color="auto"/>
            <w:bottom w:val="none" w:sz="0" w:space="0" w:color="auto"/>
            <w:right w:val="none" w:sz="0" w:space="0" w:color="auto"/>
          </w:divBdr>
          <w:divsChild>
            <w:div w:id="1643802009">
              <w:marLeft w:val="0"/>
              <w:marRight w:val="0"/>
              <w:marTop w:val="0"/>
              <w:marBottom w:val="0"/>
              <w:divBdr>
                <w:top w:val="none" w:sz="0" w:space="0" w:color="auto"/>
                <w:left w:val="none" w:sz="0" w:space="0" w:color="auto"/>
                <w:bottom w:val="none" w:sz="0" w:space="0" w:color="auto"/>
                <w:right w:val="none" w:sz="0" w:space="0" w:color="auto"/>
              </w:divBdr>
              <w:divsChild>
                <w:div w:id="8430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57691">
      <w:bodyDiv w:val="1"/>
      <w:marLeft w:val="0"/>
      <w:marRight w:val="0"/>
      <w:marTop w:val="0"/>
      <w:marBottom w:val="0"/>
      <w:divBdr>
        <w:top w:val="none" w:sz="0" w:space="0" w:color="auto"/>
        <w:left w:val="none" w:sz="0" w:space="0" w:color="auto"/>
        <w:bottom w:val="none" w:sz="0" w:space="0" w:color="auto"/>
        <w:right w:val="none" w:sz="0" w:space="0" w:color="auto"/>
      </w:divBdr>
      <w:divsChild>
        <w:div w:id="201133577">
          <w:marLeft w:val="0"/>
          <w:marRight w:val="0"/>
          <w:marTop w:val="0"/>
          <w:marBottom w:val="0"/>
          <w:divBdr>
            <w:top w:val="none" w:sz="0" w:space="0" w:color="auto"/>
            <w:left w:val="none" w:sz="0" w:space="0" w:color="auto"/>
            <w:bottom w:val="none" w:sz="0" w:space="0" w:color="auto"/>
            <w:right w:val="none" w:sz="0" w:space="0" w:color="auto"/>
          </w:divBdr>
          <w:divsChild>
            <w:div w:id="1104690891">
              <w:marLeft w:val="0"/>
              <w:marRight w:val="0"/>
              <w:marTop w:val="0"/>
              <w:marBottom w:val="0"/>
              <w:divBdr>
                <w:top w:val="none" w:sz="0" w:space="0" w:color="auto"/>
                <w:left w:val="none" w:sz="0" w:space="0" w:color="auto"/>
                <w:bottom w:val="none" w:sz="0" w:space="0" w:color="auto"/>
                <w:right w:val="none" w:sz="0" w:space="0" w:color="auto"/>
              </w:divBdr>
              <w:divsChild>
                <w:div w:id="14760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2357">
      <w:bodyDiv w:val="1"/>
      <w:marLeft w:val="0"/>
      <w:marRight w:val="0"/>
      <w:marTop w:val="0"/>
      <w:marBottom w:val="0"/>
      <w:divBdr>
        <w:top w:val="none" w:sz="0" w:space="0" w:color="auto"/>
        <w:left w:val="none" w:sz="0" w:space="0" w:color="auto"/>
        <w:bottom w:val="none" w:sz="0" w:space="0" w:color="auto"/>
        <w:right w:val="none" w:sz="0" w:space="0" w:color="auto"/>
      </w:divBdr>
      <w:divsChild>
        <w:div w:id="1537280193">
          <w:marLeft w:val="0"/>
          <w:marRight w:val="0"/>
          <w:marTop w:val="0"/>
          <w:marBottom w:val="0"/>
          <w:divBdr>
            <w:top w:val="none" w:sz="0" w:space="0" w:color="auto"/>
            <w:left w:val="none" w:sz="0" w:space="0" w:color="auto"/>
            <w:bottom w:val="none" w:sz="0" w:space="0" w:color="auto"/>
            <w:right w:val="none" w:sz="0" w:space="0" w:color="auto"/>
          </w:divBdr>
          <w:divsChild>
            <w:div w:id="1456682974">
              <w:marLeft w:val="0"/>
              <w:marRight w:val="0"/>
              <w:marTop w:val="0"/>
              <w:marBottom w:val="0"/>
              <w:divBdr>
                <w:top w:val="none" w:sz="0" w:space="0" w:color="auto"/>
                <w:left w:val="none" w:sz="0" w:space="0" w:color="auto"/>
                <w:bottom w:val="none" w:sz="0" w:space="0" w:color="auto"/>
                <w:right w:val="none" w:sz="0" w:space="0" w:color="auto"/>
              </w:divBdr>
              <w:divsChild>
                <w:div w:id="7160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5098">
      <w:bodyDiv w:val="1"/>
      <w:marLeft w:val="0"/>
      <w:marRight w:val="0"/>
      <w:marTop w:val="0"/>
      <w:marBottom w:val="0"/>
      <w:divBdr>
        <w:top w:val="none" w:sz="0" w:space="0" w:color="auto"/>
        <w:left w:val="none" w:sz="0" w:space="0" w:color="auto"/>
        <w:bottom w:val="none" w:sz="0" w:space="0" w:color="auto"/>
        <w:right w:val="none" w:sz="0" w:space="0" w:color="auto"/>
      </w:divBdr>
      <w:divsChild>
        <w:div w:id="2018532878">
          <w:marLeft w:val="0"/>
          <w:marRight w:val="0"/>
          <w:marTop w:val="0"/>
          <w:marBottom w:val="0"/>
          <w:divBdr>
            <w:top w:val="none" w:sz="0" w:space="0" w:color="auto"/>
            <w:left w:val="none" w:sz="0" w:space="0" w:color="auto"/>
            <w:bottom w:val="none" w:sz="0" w:space="0" w:color="auto"/>
            <w:right w:val="none" w:sz="0" w:space="0" w:color="auto"/>
          </w:divBdr>
          <w:divsChild>
            <w:div w:id="30768176">
              <w:marLeft w:val="0"/>
              <w:marRight w:val="0"/>
              <w:marTop w:val="0"/>
              <w:marBottom w:val="0"/>
              <w:divBdr>
                <w:top w:val="none" w:sz="0" w:space="0" w:color="auto"/>
                <w:left w:val="none" w:sz="0" w:space="0" w:color="auto"/>
                <w:bottom w:val="none" w:sz="0" w:space="0" w:color="auto"/>
                <w:right w:val="none" w:sz="0" w:space="0" w:color="auto"/>
              </w:divBdr>
              <w:divsChild>
                <w:div w:id="947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24427">
      <w:bodyDiv w:val="1"/>
      <w:marLeft w:val="0"/>
      <w:marRight w:val="0"/>
      <w:marTop w:val="0"/>
      <w:marBottom w:val="0"/>
      <w:divBdr>
        <w:top w:val="none" w:sz="0" w:space="0" w:color="auto"/>
        <w:left w:val="none" w:sz="0" w:space="0" w:color="auto"/>
        <w:bottom w:val="none" w:sz="0" w:space="0" w:color="auto"/>
        <w:right w:val="none" w:sz="0" w:space="0" w:color="auto"/>
      </w:divBdr>
      <w:divsChild>
        <w:div w:id="1591889658">
          <w:marLeft w:val="0"/>
          <w:marRight w:val="0"/>
          <w:marTop w:val="0"/>
          <w:marBottom w:val="0"/>
          <w:divBdr>
            <w:top w:val="none" w:sz="0" w:space="0" w:color="auto"/>
            <w:left w:val="none" w:sz="0" w:space="0" w:color="auto"/>
            <w:bottom w:val="none" w:sz="0" w:space="0" w:color="auto"/>
            <w:right w:val="none" w:sz="0" w:space="0" w:color="auto"/>
          </w:divBdr>
          <w:divsChild>
            <w:div w:id="863442528">
              <w:marLeft w:val="0"/>
              <w:marRight w:val="0"/>
              <w:marTop w:val="0"/>
              <w:marBottom w:val="0"/>
              <w:divBdr>
                <w:top w:val="none" w:sz="0" w:space="0" w:color="auto"/>
                <w:left w:val="none" w:sz="0" w:space="0" w:color="auto"/>
                <w:bottom w:val="none" w:sz="0" w:space="0" w:color="auto"/>
                <w:right w:val="none" w:sz="0" w:space="0" w:color="auto"/>
              </w:divBdr>
              <w:divsChild>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03486">
      <w:bodyDiv w:val="1"/>
      <w:marLeft w:val="0"/>
      <w:marRight w:val="0"/>
      <w:marTop w:val="0"/>
      <w:marBottom w:val="0"/>
      <w:divBdr>
        <w:top w:val="none" w:sz="0" w:space="0" w:color="auto"/>
        <w:left w:val="none" w:sz="0" w:space="0" w:color="auto"/>
        <w:bottom w:val="none" w:sz="0" w:space="0" w:color="auto"/>
        <w:right w:val="none" w:sz="0" w:space="0" w:color="auto"/>
      </w:divBdr>
      <w:divsChild>
        <w:div w:id="2101753566">
          <w:marLeft w:val="0"/>
          <w:marRight w:val="0"/>
          <w:marTop w:val="0"/>
          <w:marBottom w:val="0"/>
          <w:divBdr>
            <w:top w:val="none" w:sz="0" w:space="0" w:color="auto"/>
            <w:left w:val="none" w:sz="0" w:space="0" w:color="auto"/>
            <w:bottom w:val="none" w:sz="0" w:space="0" w:color="auto"/>
            <w:right w:val="none" w:sz="0" w:space="0" w:color="auto"/>
          </w:divBdr>
          <w:divsChild>
            <w:div w:id="182281433">
              <w:marLeft w:val="0"/>
              <w:marRight w:val="0"/>
              <w:marTop w:val="0"/>
              <w:marBottom w:val="0"/>
              <w:divBdr>
                <w:top w:val="none" w:sz="0" w:space="0" w:color="auto"/>
                <w:left w:val="none" w:sz="0" w:space="0" w:color="auto"/>
                <w:bottom w:val="none" w:sz="0" w:space="0" w:color="auto"/>
                <w:right w:val="none" w:sz="0" w:space="0" w:color="auto"/>
              </w:divBdr>
              <w:divsChild>
                <w:div w:id="21409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0001">
      <w:bodyDiv w:val="1"/>
      <w:marLeft w:val="0"/>
      <w:marRight w:val="0"/>
      <w:marTop w:val="0"/>
      <w:marBottom w:val="0"/>
      <w:divBdr>
        <w:top w:val="none" w:sz="0" w:space="0" w:color="auto"/>
        <w:left w:val="none" w:sz="0" w:space="0" w:color="auto"/>
        <w:bottom w:val="none" w:sz="0" w:space="0" w:color="auto"/>
        <w:right w:val="none" w:sz="0" w:space="0" w:color="auto"/>
      </w:divBdr>
      <w:divsChild>
        <w:div w:id="671491651">
          <w:marLeft w:val="0"/>
          <w:marRight w:val="0"/>
          <w:marTop w:val="0"/>
          <w:marBottom w:val="0"/>
          <w:divBdr>
            <w:top w:val="none" w:sz="0" w:space="0" w:color="auto"/>
            <w:left w:val="none" w:sz="0" w:space="0" w:color="auto"/>
            <w:bottom w:val="none" w:sz="0" w:space="0" w:color="auto"/>
            <w:right w:val="none" w:sz="0" w:space="0" w:color="auto"/>
          </w:divBdr>
          <w:divsChild>
            <w:div w:id="2124766155">
              <w:marLeft w:val="0"/>
              <w:marRight w:val="0"/>
              <w:marTop w:val="0"/>
              <w:marBottom w:val="0"/>
              <w:divBdr>
                <w:top w:val="none" w:sz="0" w:space="0" w:color="auto"/>
                <w:left w:val="none" w:sz="0" w:space="0" w:color="auto"/>
                <w:bottom w:val="none" w:sz="0" w:space="0" w:color="auto"/>
                <w:right w:val="none" w:sz="0" w:space="0" w:color="auto"/>
              </w:divBdr>
              <w:divsChild>
                <w:div w:id="8707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72757">
      <w:bodyDiv w:val="1"/>
      <w:marLeft w:val="0"/>
      <w:marRight w:val="0"/>
      <w:marTop w:val="0"/>
      <w:marBottom w:val="0"/>
      <w:divBdr>
        <w:top w:val="none" w:sz="0" w:space="0" w:color="auto"/>
        <w:left w:val="none" w:sz="0" w:space="0" w:color="auto"/>
        <w:bottom w:val="none" w:sz="0" w:space="0" w:color="auto"/>
        <w:right w:val="none" w:sz="0" w:space="0" w:color="auto"/>
      </w:divBdr>
      <w:divsChild>
        <w:div w:id="319894418">
          <w:marLeft w:val="0"/>
          <w:marRight w:val="0"/>
          <w:marTop w:val="0"/>
          <w:marBottom w:val="0"/>
          <w:divBdr>
            <w:top w:val="none" w:sz="0" w:space="0" w:color="auto"/>
            <w:left w:val="none" w:sz="0" w:space="0" w:color="auto"/>
            <w:bottom w:val="none" w:sz="0" w:space="0" w:color="auto"/>
            <w:right w:val="none" w:sz="0" w:space="0" w:color="auto"/>
          </w:divBdr>
          <w:divsChild>
            <w:div w:id="983464946">
              <w:marLeft w:val="0"/>
              <w:marRight w:val="0"/>
              <w:marTop w:val="0"/>
              <w:marBottom w:val="0"/>
              <w:divBdr>
                <w:top w:val="none" w:sz="0" w:space="0" w:color="auto"/>
                <w:left w:val="none" w:sz="0" w:space="0" w:color="auto"/>
                <w:bottom w:val="none" w:sz="0" w:space="0" w:color="auto"/>
                <w:right w:val="none" w:sz="0" w:space="0" w:color="auto"/>
              </w:divBdr>
              <w:divsChild>
                <w:div w:id="3849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91382">
      <w:bodyDiv w:val="1"/>
      <w:marLeft w:val="0"/>
      <w:marRight w:val="0"/>
      <w:marTop w:val="0"/>
      <w:marBottom w:val="0"/>
      <w:divBdr>
        <w:top w:val="none" w:sz="0" w:space="0" w:color="auto"/>
        <w:left w:val="none" w:sz="0" w:space="0" w:color="auto"/>
        <w:bottom w:val="none" w:sz="0" w:space="0" w:color="auto"/>
        <w:right w:val="none" w:sz="0" w:space="0" w:color="auto"/>
      </w:divBdr>
      <w:divsChild>
        <w:div w:id="18627184">
          <w:marLeft w:val="0"/>
          <w:marRight w:val="0"/>
          <w:marTop w:val="0"/>
          <w:marBottom w:val="0"/>
          <w:divBdr>
            <w:top w:val="none" w:sz="0" w:space="0" w:color="auto"/>
            <w:left w:val="none" w:sz="0" w:space="0" w:color="auto"/>
            <w:bottom w:val="none" w:sz="0" w:space="0" w:color="auto"/>
            <w:right w:val="none" w:sz="0" w:space="0" w:color="auto"/>
          </w:divBdr>
          <w:divsChild>
            <w:div w:id="685181792">
              <w:marLeft w:val="0"/>
              <w:marRight w:val="0"/>
              <w:marTop w:val="0"/>
              <w:marBottom w:val="0"/>
              <w:divBdr>
                <w:top w:val="none" w:sz="0" w:space="0" w:color="auto"/>
                <w:left w:val="none" w:sz="0" w:space="0" w:color="auto"/>
                <w:bottom w:val="none" w:sz="0" w:space="0" w:color="auto"/>
                <w:right w:val="none" w:sz="0" w:space="0" w:color="auto"/>
              </w:divBdr>
              <w:divsChild>
                <w:div w:id="1997611872">
                  <w:marLeft w:val="0"/>
                  <w:marRight w:val="0"/>
                  <w:marTop w:val="0"/>
                  <w:marBottom w:val="0"/>
                  <w:divBdr>
                    <w:top w:val="none" w:sz="0" w:space="0" w:color="auto"/>
                    <w:left w:val="none" w:sz="0" w:space="0" w:color="auto"/>
                    <w:bottom w:val="none" w:sz="0" w:space="0" w:color="auto"/>
                    <w:right w:val="none" w:sz="0" w:space="0" w:color="auto"/>
                  </w:divBdr>
                </w:div>
              </w:divsChild>
            </w:div>
            <w:div w:id="800538381">
              <w:marLeft w:val="0"/>
              <w:marRight w:val="0"/>
              <w:marTop w:val="0"/>
              <w:marBottom w:val="0"/>
              <w:divBdr>
                <w:top w:val="none" w:sz="0" w:space="0" w:color="auto"/>
                <w:left w:val="none" w:sz="0" w:space="0" w:color="auto"/>
                <w:bottom w:val="none" w:sz="0" w:space="0" w:color="auto"/>
                <w:right w:val="none" w:sz="0" w:space="0" w:color="auto"/>
              </w:divBdr>
              <w:divsChild>
                <w:div w:id="17245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347">
      <w:bodyDiv w:val="1"/>
      <w:marLeft w:val="0"/>
      <w:marRight w:val="0"/>
      <w:marTop w:val="0"/>
      <w:marBottom w:val="0"/>
      <w:divBdr>
        <w:top w:val="none" w:sz="0" w:space="0" w:color="auto"/>
        <w:left w:val="none" w:sz="0" w:space="0" w:color="auto"/>
        <w:bottom w:val="none" w:sz="0" w:space="0" w:color="auto"/>
        <w:right w:val="none" w:sz="0" w:space="0" w:color="auto"/>
      </w:divBdr>
      <w:divsChild>
        <w:div w:id="1277642322">
          <w:marLeft w:val="0"/>
          <w:marRight w:val="0"/>
          <w:marTop w:val="0"/>
          <w:marBottom w:val="0"/>
          <w:divBdr>
            <w:top w:val="none" w:sz="0" w:space="0" w:color="auto"/>
            <w:left w:val="none" w:sz="0" w:space="0" w:color="auto"/>
            <w:bottom w:val="none" w:sz="0" w:space="0" w:color="auto"/>
            <w:right w:val="none" w:sz="0" w:space="0" w:color="auto"/>
          </w:divBdr>
          <w:divsChild>
            <w:div w:id="714358186">
              <w:marLeft w:val="0"/>
              <w:marRight w:val="0"/>
              <w:marTop w:val="0"/>
              <w:marBottom w:val="0"/>
              <w:divBdr>
                <w:top w:val="none" w:sz="0" w:space="0" w:color="auto"/>
                <w:left w:val="none" w:sz="0" w:space="0" w:color="auto"/>
                <w:bottom w:val="none" w:sz="0" w:space="0" w:color="auto"/>
                <w:right w:val="none" w:sz="0" w:space="0" w:color="auto"/>
              </w:divBdr>
              <w:divsChild>
                <w:div w:id="7646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9706">
          <w:marLeft w:val="0"/>
          <w:marRight w:val="0"/>
          <w:marTop w:val="0"/>
          <w:marBottom w:val="0"/>
          <w:divBdr>
            <w:top w:val="none" w:sz="0" w:space="0" w:color="auto"/>
            <w:left w:val="none" w:sz="0" w:space="0" w:color="auto"/>
            <w:bottom w:val="none" w:sz="0" w:space="0" w:color="auto"/>
            <w:right w:val="none" w:sz="0" w:space="0" w:color="auto"/>
          </w:divBdr>
          <w:divsChild>
            <w:div w:id="1575236760">
              <w:marLeft w:val="0"/>
              <w:marRight w:val="0"/>
              <w:marTop w:val="0"/>
              <w:marBottom w:val="0"/>
              <w:divBdr>
                <w:top w:val="none" w:sz="0" w:space="0" w:color="auto"/>
                <w:left w:val="none" w:sz="0" w:space="0" w:color="auto"/>
                <w:bottom w:val="none" w:sz="0" w:space="0" w:color="auto"/>
                <w:right w:val="none" w:sz="0" w:space="0" w:color="auto"/>
              </w:divBdr>
              <w:divsChild>
                <w:div w:id="11671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1930">
      <w:bodyDiv w:val="1"/>
      <w:marLeft w:val="0"/>
      <w:marRight w:val="0"/>
      <w:marTop w:val="0"/>
      <w:marBottom w:val="0"/>
      <w:divBdr>
        <w:top w:val="none" w:sz="0" w:space="0" w:color="auto"/>
        <w:left w:val="none" w:sz="0" w:space="0" w:color="auto"/>
        <w:bottom w:val="none" w:sz="0" w:space="0" w:color="auto"/>
        <w:right w:val="none" w:sz="0" w:space="0" w:color="auto"/>
      </w:divBdr>
      <w:divsChild>
        <w:div w:id="2091808018">
          <w:marLeft w:val="0"/>
          <w:marRight w:val="0"/>
          <w:marTop w:val="0"/>
          <w:marBottom w:val="0"/>
          <w:divBdr>
            <w:top w:val="none" w:sz="0" w:space="0" w:color="auto"/>
            <w:left w:val="none" w:sz="0" w:space="0" w:color="auto"/>
            <w:bottom w:val="none" w:sz="0" w:space="0" w:color="auto"/>
            <w:right w:val="none" w:sz="0" w:space="0" w:color="auto"/>
          </w:divBdr>
          <w:divsChild>
            <w:div w:id="216287280">
              <w:marLeft w:val="0"/>
              <w:marRight w:val="0"/>
              <w:marTop w:val="0"/>
              <w:marBottom w:val="0"/>
              <w:divBdr>
                <w:top w:val="none" w:sz="0" w:space="0" w:color="auto"/>
                <w:left w:val="none" w:sz="0" w:space="0" w:color="auto"/>
                <w:bottom w:val="none" w:sz="0" w:space="0" w:color="auto"/>
                <w:right w:val="none" w:sz="0" w:space="0" w:color="auto"/>
              </w:divBdr>
              <w:divsChild>
                <w:div w:id="6622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833908">
      <w:bodyDiv w:val="1"/>
      <w:marLeft w:val="0"/>
      <w:marRight w:val="0"/>
      <w:marTop w:val="0"/>
      <w:marBottom w:val="0"/>
      <w:divBdr>
        <w:top w:val="none" w:sz="0" w:space="0" w:color="auto"/>
        <w:left w:val="none" w:sz="0" w:space="0" w:color="auto"/>
        <w:bottom w:val="none" w:sz="0" w:space="0" w:color="auto"/>
        <w:right w:val="none" w:sz="0" w:space="0" w:color="auto"/>
      </w:divBdr>
      <w:divsChild>
        <w:div w:id="253324889">
          <w:marLeft w:val="0"/>
          <w:marRight w:val="0"/>
          <w:marTop w:val="0"/>
          <w:marBottom w:val="0"/>
          <w:divBdr>
            <w:top w:val="none" w:sz="0" w:space="0" w:color="auto"/>
            <w:left w:val="none" w:sz="0" w:space="0" w:color="auto"/>
            <w:bottom w:val="none" w:sz="0" w:space="0" w:color="auto"/>
            <w:right w:val="none" w:sz="0" w:space="0" w:color="auto"/>
          </w:divBdr>
          <w:divsChild>
            <w:div w:id="1084762645">
              <w:marLeft w:val="0"/>
              <w:marRight w:val="0"/>
              <w:marTop w:val="0"/>
              <w:marBottom w:val="0"/>
              <w:divBdr>
                <w:top w:val="none" w:sz="0" w:space="0" w:color="auto"/>
                <w:left w:val="none" w:sz="0" w:space="0" w:color="auto"/>
                <w:bottom w:val="none" w:sz="0" w:space="0" w:color="auto"/>
                <w:right w:val="none" w:sz="0" w:space="0" w:color="auto"/>
              </w:divBdr>
              <w:divsChild>
                <w:div w:id="862280475">
                  <w:marLeft w:val="0"/>
                  <w:marRight w:val="0"/>
                  <w:marTop w:val="0"/>
                  <w:marBottom w:val="0"/>
                  <w:divBdr>
                    <w:top w:val="none" w:sz="0" w:space="0" w:color="auto"/>
                    <w:left w:val="none" w:sz="0" w:space="0" w:color="auto"/>
                    <w:bottom w:val="none" w:sz="0" w:space="0" w:color="auto"/>
                    <w:right w:val="none" w:sz="0" w:space="0" w:color="auto"/>
                  </w:divBdr>
                </w:div>
                <w:div w:id="109694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6503">
      <w:bodyDiv w:val="1"/>
      <w:marLeft w:val="0"/>
      <w:marRight w:val="0"/>
      <w:marTop w:val="0"/>
      <w:marBottom w:val="0"/>
      <w:divBdr>
        <w:top w:val="none" w:sz="0" w:space="0" w:color="auto"/>
        <w:left w:val="none" w:sz="0" w:space="0" w:color="auto"/>
        <w:bottom w:val="none" w:sz="0" w:space="0" w:color="auto"/>
        <w:right w:val="none" w:sz="0" w:space="0" w:color="auto"/>
      </w:divBdr>
    </w:div>
    <w:div w:id="1860048065">
      <w:bodyDiv w:val="1"/>
      <w:marLeft w:val="0"/>
      <w:marRight w:val="0"/>
      <w:marTop w:val="0"/>
      <w:marBottom w:val="0"/>
      <w:divBdr>
        <w:top w:val="none" w:sz="0" w:space="0" w:color="auto"/>
        <w:left w:val="none" w:sz="0" w:space="0" w:color="auto"/>
        <w:bottom w:val="none" w:sz="0" w:space="0" w:color="auto"/>
        <w:right w:val="none" w:sz="0" w:space="0" w:color="auto"/>
      </w:divBdr>
      <w:divsChild>
        <w:div w:id="228807825">
          <w:marLeft w:val="0"/>
          <w:marRight w:val="0"/>
          <w:marTop w:val="0"/>
          <w:marBottom w:val="0"/>
          <w:divBdr>
            <w:top w:val="none" w:sz="0" w:space="0" w:color="auto"/>
            <w:left w:val="none" w:sz="0" w:space="0" w:color="auto"/>
            <w:bottom w:val="none" w:sz="0" w:space="0" w:color="auto"/>
            <w:right w:val="none" w:sz="0" w:space="0" w:color="auto"/>
          </w:divBdr>
          <w:divsChild>
            <w:div w:id="1899778791">
              <w:marLeft w:val="0"/>
              <w:marRight w:val="0"/>
              <w:marTop w:val="0"/>
              <w:marBottom w:val="0"/>
              <w:divBdr>
                <w:top w:val="none" w:sz="0" w:space="0" w:color="auto"/>
                <w:left w:val="none" w:sz="0" w:space="0" w:color="auto"/>
                <w:bottom w:val="none" w:sz="0" w:space="0" w:color="auto"/>
                <w:right w:val="none" w:sz="0" w:space="0" w:color="auto"/>
              </w:divBdr>
              <w:divsChild>
                <w:div w:id="10903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9207">
      <w:bodyDiv w:val="1"/>
      <w:marLeft w:val="0"/>
      <w:marRight w:val="0"/>
      <w:marTop w:val="0"/>
      <w:marBottom w:val="0"/>
      <w:divBdr>
        <w:top w:val="none" w:sz="0" w:space="0" w:color="auto"/>
        <w:left w:val="none" w:sz="0" w:space="0" w:color="auto"/>
        <w:bottom w:val="none" w:sz="0" w:space="0" w:color="auto"/>
        <w:right w:val="none" w:sz="0" w:space="0" w:color="auto"/>
      </w:divBdr>
      <w:divsChild>
        <w:div w:id="1668051362">
          <w:marLeft w:val="0"/>
          <w:marRight w:val="0"/>
          <w:marTop w:val="0"/>
          <w:marBottom w:val="0"/>
          <w:divBdr>
            <w:top w:val="none" w:sz="0" w:space="0" w:color="auto"/>
            <w:left w:val="none" w:sz="0" w:space="0" w:color="auto"/>
            <w:bottom w:val="none" w:sz="0" w:space="0" w:color="auto"/>
            <w:right w:val="none" w:sz="0" w:space="0" w:color="auto"/>
          </w:divBdr>
        </w:div>
      </w:divsChild>
    </w:div>
    <w:div w:id="1869641916">
      <w:bodyDiv w:val="1"/>
      <w:marLeft w:val="0"/>
      <w:marRight w:val="0"/>
      <w:marTop w:val="0"/>
      <w:marBottom w:val="0"/>
      <w:divBdr>
        <w:top w:val="none" w:sz="0" w:space="0" w:color="auto"/>
        <w:left w:val="none" w:sz="0" w:space="0" w:color="auto"/>
        <w:bottom w:val="none" w:sz="0" w:space="0" w:color="auto"/>
        <w:right w:val="none" w:sz="0" w:space="0" w:color="auto"/>
      </w:divBdr>
      <w:divsChild>
        <w:div w:id="1033725959">
          <w:marLeft w:val="0"/>
          <w:marRight w:val="0"/>
          <w:marTop w:val="0"/>
          <w:marBottom w:val="0"/>
          <w:divBdr>
            <w:top w:val="none" w:sz="0" w:space="0" w:color="auto"/>
            <w:left w:val="none" w:sz="0" w:space="0" w:color="auto"/>
            <w:bottom w:val="none" w:sz="0" w:space="0" w:color="auto"/>
            <w:right w:val="none" w:sz="0" w:space="0" w:color="auto"/>
          </w:divBdr>
          <w:divsChild>
            <w:div w:id="2022273170">
              <w:marLeft w:val="0"/>
              <w:marRight w:val="0"/>
              <w:marTop w:val="0"/>
              <w:marBottom w:val="0"/>
              <w:divBdr>
                <w:top w:val="none" w:sz="0" w:space="0" w:color="auto"/>
                <w:left w:val="none" w:sz="0" w:space="0" w:color="auto"/>
                <w:bottom w:val="none" w:sz="0" w:space="0" w:color="auto"/>
                <w:right w:val="none" w:sz="0" w:space="0" w:color="auto"/>
              </w:divBdr>
              <w:divsChild>
                <w:div w:id="18702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4756">
      <w:bodyDiv w:val="1"/>
      <w:marLeft w:val="0"/>
      <w:marRight w:val="0"/>
      <w:marTop w:val="0"/>
      <w:marBottom w:val="0"/>
      <w:divBdr>
        <w:top w:val="none" w:sz="0" w:space="0" w:color="auto"/>
        <w:left w:val="none" w:sz="0" w:space="0" w:color="auto"/>
        <w:bottom w:val="none" w:sz="0" w:space="0" w:color="auto"/>
        <w:right w:val="none" w:sz="0" w:space="0" w:color="auto"/>
      </w:divBdr>
      <w:divsChild>
        <w:div w:id="125393659">
          <w:marLeft w:val="0"/>
          <w:marRight w:val="0"/>
          <w:marTop w:val="0"/>
          <w:marBottom w:val="0"/>
          <w:divBdr>
            <w:top w:val="none" w:sz="0" w:space="0" w:color="auto"/>
            <w:left w:val="none" w:sz="0" w:space="0" w:color="auto"/>
            <w:bottom w:val="none" w:sz="0" w:space="0" w:color="auto"/>
            <w:right w:val="none" w:sz="0" w:space="0" w:color="auto"/>
          </w:divBdr>
          <w:divsChild>
            <w:div w:id="2009936647">
              <w:marLeft w:val="0"/>
              <w:marRight w:val="0"/>
              <w:marTop w:val="0"/>
              <w:marBottom w:val="0"/>
              <w:divBdr>
                <w:top w:val="none" w:sz="0" w:space="0" w:color="auto"/>
                <w:left w:val="none" w:sz="0" w:space="0" w:color="auto"/>
                <w:bottom w:val="none" w:sz="0" w:space="0" w:color="auto"/>
                <w:right w:val="none" w:sz="0" w:space="0" w:color="auto"/>
              </w:divBdr>
              <w:divsChild>
                <w:div w:id="35813781">
                  <w:marLeft w:val="0"/>
                  <w:marRight w:val="0"/>
                  <w:marTop w:val="0"/>
                  <w:marBottom w:val="0"/>
                  <w:divBdr>
                    <w:top w:val="none" w:sz="0" w:space="0" w:color="auto"/>
                    <w:left w:val="none" w:sz="0" w:space="0" w:color="auto"/>
                    <w:bottom w:val="none" w:sz="0" w:space="0" w:color="auto"/>
                    <w:right w:val="none" w:sz="0" w:space="0" w:color="auto"/>
                  </w:divBdr>
                </w:div>
              </w:divsChild>
            </w:div>
            <w:div w:id="998731300">
              <w:marLeft w:val="0"/>
              <w:marRight w:val="0"/>
              <w:marTop w:val="0"/>
              <w:marBottom w:val="0"/>
              <w:divBdr>
                <w:top w:val="none" w:sz="0" w:space="0" w:color="auto"/>
                <w:left w:val="none" w:sz="0" w:space="0" w:color="auto"/>
                <w:bottom w:val="none" w:sz="0" w:space="0" w:color="auto"/>
                <w:right w:val="none" w:sz="0" w:space="0" w:color="auto"/>
              </w:divBdr>
              <w:divsChild>
                <w:div w:id="1030030418">
                  <w:marLeft w:val="0"/>
                  <w:marRight w:val="0"/>
                  <w:marTop w:val="0"/>
                  <w:marBottom w:val="0"/>
                  <w:divBdr>
                    <w:top w:val="none" w:sz="0" w:space="0" w:color="auto"/>
                    <w:left w:val="none" w:sz="0" w:space="0" w:color="auto"/>
                    <w:bottom w:val="none" w:sz="0" w:space="0" w:color="auto"/>
                    <w:right w:val="none" w:sz="0" w:space="0" w:color="auto"/>
                  </w:divBdr>
                </w:div>
              </w:divsChild>
            </w:div>
            <w:div w:id="1526821669">
              <w:marLeft w:val="0"/>
              <w:marRight w:val="0"/>
              <w:marTop w:val="0"/>
              <w:marBottom w:val="0"/>
              <w:divBdr>
                <w:top w:val="none" w:sz="0" w:space="0" w:color="auto"/>
                <w:left w:val="none" w:sz="0" w:space="0" w:color="auto"/>
                <w:bottom w:val="none" w:sz="0" w:space="0" w:color="auto"/>
                <w:right w:val="none" w:sz="0" w:space="0" w:color="auto"/>
              </w:divBdr>
              <w:divsChild>
                <w:div w:id="20686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11974">
      <w:bodyDiv w:val="1"/>
      <w:marLeft w:val="0"/>
      <w:marRight w:val="0"/>
      <w:marTop w:val="0"/>
      <w:marBottom w:val="0"/>
      <w:divBdr>
        <w:top w:val="none" w:sz="0" w:space="0" w:color="auto"/>
        <w:left w:val="none" w:sz="0" w:space="0" w:color="auto"/>
        <w:bottom w:val="none" w:sz="0" w:space="0" w:color="auto"/>
        <w:right w:val="none" w:sz="0" w:space="0" w:color="auto"/>
      </w:divBdr>
      <w:divsChild>
        <w:div w:id="1215851897">
          <w:marLeft w:val="0"/>
          <w:marRight w:val="0"/>
          <w:marTop w:val="0"/>
          <w:marBottom w:val="0"/>
          <w:divBdr>
            <w:top w:val="none" w:sz="0" w:space="0" w:color="auto"/>
            <w:left w:val="none" w:sz="0" w:space="0" w:color="auto"/>
            <w:bottom w:val="none" w:sz="0" w:space="0" w:color="auto"/>
            <w:right w:val="none" w:sz="0" w:space="0" w:color="auto"/>
          </w:divBdr>
        </w:div>
      </w:divsChild>
    </w:div>
    <w:div w:id="1907909987">
      <w:bodyDiv w:val="1"/>
      <w:marLeft w:val="0"/>
      <w:marRight w:val="0"/>
      <w:marTop w:val="0"/>
      <w:marBottom w:val="0"/>
      <w:divBdr>
        <w:top w:val="none" w:sz="0" w:space="0" w:color="auto"/>
        <w:left w:val="none" w:sz="0" w:space="0" w:color="auto"/>
        <w:bottom w:val="none" w:sz="0" w:space="0" w:color="auto"/>
        <w:right w:val="none" w:sz="0" w:space="0" w:color="auto"/>
      </w:divBdr>
      <w:divsChild>
        <w:div w:id="842356525">
          <w:marLeft w:val="0"/>
          <w:marRight w:val="0"/>
          <w:marTop w:val="0"/>
          <w:marBottom w:val="0"/>
          <w:divBdr>
            <w:top w:val="none" w:sz="0" w:space="0" w:color="auto"/>
            <w:left w:val="none" w:sz="0" w:space="0" w:color="auto"/>
            <w:bottom w:val="none" w:sz="0" w:space="0" w:color="auto"/>
            <w:right w:val="none" w:sz="0" w:space="0" w:color="auto"/>
          </w:divBdr>
          <w:divsChild>
            <w:div w:id="1706566243">
              <w:marLeft w:val="0"/>
              <w:marRight w:val="0"/>
              <w:marTop w:val="0"/>
              <w:marBottom w:val="0"/>
              <w:divBdr>
                <w:top w:val="none" w:sz="0" w:space="0" w:color="auto"/>
                <w:left w:val="none" w:sz="0" w:space="0" w:color="auto"/>
                <w:bottom w:val="none" w:sz="0" w:space="0" w:color="auto"/>
                <w:right w:val="none" w:sz="0" w:space="0" w:color="auto"/>
              </w:divBdr>
              <w:divsChild>
                <w:div w:id="10271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5884">
      <w:bodyDiv w:val="1"/>
      <w:marLeft w:val="0"/>
      <w:marRight w:val="0"/>
      <w:marTop w:val="0"/>
      <w:marBottom w:val="0"/>
      <w:divBdr>
        <w:top w:val="none" w:sz="0" w:space="0" w:color="auto"/>
        <w:left w:val="none" w:sz="0" w:space="0" w:color="auto"/>
        <w:bottom w:val="none" w:sz="0" w:space="0" w:color="auto"/>
        <w:right w:val="none" w:sz="0" w:space="0" w:color="auto"/>
      </w:divBdr>
      <w:divsChild>
        <w:div w:id="2116167395">
          <w:marLeft w:val="0"/>
          <w:marRight w:val="0"/>
          <w:marTop w:val="0"/>
          <w:marBottom w:val="0"/>
          <w:divBdr>
            <w:top w:val="none" w:sz="0" w:space="0" w:color="auto"/>
            <w:left w:val="none" w:sz="0" w:space="0" w:color="auto"/>
            <w:bottom w:val="none" w:sz="0" w:space="0" w:color="auto"/>
            <w:right w:val="none" w:sz="0" w:space="0" w:color="auto"/>
          </w:divBdr>
        </w:div>
        <w:div w:id="1693191046">
          <w:marLeft w:val="0"/>
          <w:marRight w:val="0"/>
          <w:marTop w:val="0"/>
          <w:marBottom w:val="0"/>
          <w:divBdr>
            <w:top w:val="none" w:sz="0" w:space="0" w:color="auto"/>
            <w:left w:val="none" w:sz="0" w:space="0" w:color="auto"/>
            <w:bottom w:val="none" w:sz="0" w:space="0" w:color="auto"/>
            <w:right w:val="none" w:sz="0" w:space="0" w:color="auto"/>
          </w:divBdr>
        </w:div>
        <w:div w:id="771052489">
          <w:marLeft w:val="0"/>
          <w:marRight w:val="0"/>
          <w:marTop w:val="0"/>
          <w:marBottom w:val="0"/>
          <w:divBdr>
            <w:top w:val="none" w:sz="0" w:space="0" w:color="auto"/>
            <w:left w:val="none" w:sz="0" w:space="0" w:color="auto"/>
            <w:bottom w:val="none" w:sz="0" w:space="0" w:color="auto"/>
            <w:right w:val="none" w:sz="0" w:space="0" w:color="auto"/>
          </w:divBdr>
        </w:div>
        <w:div w:id="1807046014">
          <w:marLeft w:val="0"/>
          <w:marRight w:val="0"/>
          <w:marTop w:val="0"/>
          <w:marBottom w:val="0"/>
          <w:divBdr>
            <w:top w:val="none" w:sz="0" w:space="0" w:color="auto"/>
            <w:left w:val="none" w:sz="0" w:space="0" w:color="auto"/>
            <w:bottom w:val="none" w:sz="0" w:space="0" w:color="auto"/>
            <w:right w:val="none" w:sz="0" w:space="0" w:color="auto"/>
          </w:divBdr>
        </w:div>
      </w:divsChild>
    </w:div>
    <w:div w:id="1933733024">
      <w:bodyDiv w:val="1"/>
      <w:marLeft w:val="0"/>
      <w:marRight w:val="0"/>
      <w:marTop w:val="0"/>
      <w:marBottom w:val="0"/>
      <w:divBdr>
        <w:top w:val="none" w:sz="0" w:space="0" w:color="auto"/>
        <w:left w:val="none" w:sz="0" w:space="0" w:color="auto"/>
        <w:bottom w:val="none" w:sz="0" w:space="0" w:color="auto"/>
        <w:right w:val="none" w:sz="0" w:space="0" w:color="auto"/>
      </w:divBdr>
    </w:div>
    <w:div w:id="1935435577">
      <w:bodyDiv w:val="1"/>
      <w:marLeft w:val="0"/>
      <w:marRight w:val="0"/>
      <w:marTop w:val="0"/>
      <w:marBottom w:val="0"/>
      <w:divBdr>
        <w:top w:val="none" w:sz="0" w:space="0" w:color="auto"/>
        <w:left w:val="none" w:sz="0" w:space="0" w:color="auto"/>
        <w:bottom w:val="none" w:sz="0" w:space="0" w:color="auto"/>
        <w:right w:val="none" w:sz="0" w:space="0" w:color="auto"/>
      </w:divBdr>
      <w:divsChild>
        <w:div w:id="2041859918">
          <w:marLeft w:val="0"/>
          <w:marRight w:val="0"/>
          <w:marTop w:val="0"/>
          <w:marBottom w:val="0"/>
          <w:divBdr>
            <w:top w:val="none" w:sz="0" w:space="0" w:color="auto"/>
            <w:left w:val="none" w:sz="0" w:space="0" w:color="auto"/>
            <w:bottom w:val="none" w:sz="0" w:space="0" w:color="auto"/>
            <w:right w:val="none" w:sz="0" w:space="0" w:color="auto"/>
          </w:divBdr>
          <w:divsChild>
            <w:div w:id="807745453">
              <w:marLeft w:val="0"/>
              <w:marRight w:val="0"/>
              <w:marTop w:val="0"/>
              <w:marBottom w:val="0"/>
              <w:divBdr>
                <w:top w:val="none" w:sz="0" w:space="0" w:color="auto"/>
                <w:left w:val="none" w:sz="0" w:space="0" w:color="auto"/>
                <w:bottom w:val="none" w:sz="0" w:space="0" w:color="auto"/>
                <w:right w:val="none" w:sz="0" w:space="0" w:color="auto"/>
              </w:divBdr>
              <w:divsChild>
                <w:div w:id="4976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29067">
      <w:bodyDiv w:val="1"/>
      <w:marLeft w:val="0"/>
      <w:marRight w:val="0"/>
      <w:marTop w:val="0"/>
      <w:marBottom w:val="0"/>
      <w:divBdr>
        <w:top w:val="none" w:sz="0" w:space="0" w:color="auto"/>
        <w:left w:val="none" w:sz="0" w:space="0" w:color="auto"/>
        <w:bottom w:val="none" w:sz="0" w:space="0" w:color="auto"/>
        <w:right w:val="none" w:sz="0" w:space="0" w:color="auto"/>
      </w:divBdr>
      <w:divsChild>
        <w:div w:id="424421645">
          <w:marLeft w:val="0"/>
          <w:marRight w:val="0"/>
          <w:marTop w:val="0"/>
          <w:marBottom w:val="0"/>
          <w:divBdr>
            <w:top w:val="none" w:sz="0" w:space="0" w:color="auto"/>
            <w:left w:val="none" w:sz="0" w:space="0" w:color="auto"/>
            <w:bottom w:val="none" w:sz="0" w:space="0" w:color="auto"/>
            <w:right w:val="none" w:sz="0" w:space="0" w:color="auto"/>
          </w:divBdr>
          <w:divsChild>
            <w:div w:id="363212804">
              <w:marLeft w:val="0"/>
              <w:marRight w:val="0"/>
              <w:marTop w:val="0"/>
              <w:marBottom w:val="0"/>
              <w:divBdr>
                <w:top w:val="none" w:sz="0" w:space="0" w:color="auto"/>
                <w:left w:val="none" w:sz="0" w:space="0" w:color="auto"/>
                <w:bottom w:val="none" w:sz="0" w:space="0" w:color="auto"/>
                <w:right w:val="none" w:sz="0" w:space="0" w:color="auto"/>
              </w:divBdr>
              <w:divsChild>
                <w:div w:id="12766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6831">
      <w:bodyDiv w:val="1"/>
      <w:marLeft w:val="0"/>
      <w:marRight w:val="0"/>
      <w:marTop w:val="0"/>
      <w:marBottom w:val="0"/>
      <w:divBdr>
        <w:top w:val="none" w:sz="0" w:space="0" w:color="auto"/>
        <w:left w:val="none" w:sz="0" w:space="0" w:color="auto"/>
        <w:bottom w:val="none" w:sz="0" w:space="0" w:color="auto"/>
        <w:right w:val="none" w:sz="0" w:space="0" w:color="auto"/>
      </w:divBdr>
      <w:divsChild>
        <w:div w:id="456918680">
          <w:marLeft w:val="0"/>
          <w:marRight w:val="0"/>
          <w:marTop w:val="0"/>
          <w:marBottom w:val="0"/>
          <w:divBdr>
            <w:top w:val="none" w:sz="0" w:space="0" w:color="auto"/>
            <w:left w:val="none" w:sz="0" w:space="0" w:color="auto"/>
            <w:bottom w:val="none" w:sz="0" w:space="0" w:color="auto"/>
            <w:right w:val="none" w:sz="0" w:space="0" w:color="auto"/>
          </w:divBdr>
          <w:divsChild>
            <w:div w:id="1857768534">
              <w:marLeft w:val="0"/>
              <w:marRight w:val="0"/>
              <w:marTop w:val="0"/>
              <w:marBottom w:val="0"/>
              <w:divBdr>
                <w:top w:val="none" w:sz="0" w:space="0" w:color="auto"/>
                <w:left w:val="none" w:sz="0" w:space="0" w:color="auto"/>
                <w:bottom w:val="none" w:sz="0" w:space="0" w:color="auto"/>
                <w:right w:val="none" w:sz="0" w:space="0" w:color="auto"/>
              </w:divBdr>
              <w:divsChild>
                <w:div w:id="9544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349">
      <w:bodyDiv w:val="1"/>
      <w:marLeft w:val="0"/>
      <w:marRight w:val="0"/>
      <w:marTop w:val="0"/>
      <w:marBottom w:val="0"/>
      <w:divBdr>
        <w:top w:val="none" w:sz="0" w:space="0" w:color="auto"/>
        <w:left w:val="none" w:sz="0" w:space="0" w:color="auto"/>
        <w:bottom w:val="none" w:sz="0" w:space="0" w:color="auto"/>
        <w:right w:val="none" w:sz="0" w:space="0" w:color="auto"/>
      </w:divBdr>
    </w:div>
    <w:div w:id="1966083171">
      <w:bodyDiv w:val="1"/>
      <w:marLeft w:val="0"/>
      <w:marRight w:val="0"/>
      <w:marTop w:val="0"/>
      <w:marBottom w:val="0"/>
      <w:divBdr>
        <w:top w:val="none" w:sz="0" w:space="0" w:color="auto"/>
        <w:left w:val="none" w:sz="0" w:space="0" w:color="auto"/>
        <w:bottom w:val="none" w:sz="0" w:space="0" w:color="auto"/>
        <w:right w:val="none" w:sz="0" w:space="0" w:color="auto"/>
      </w:divBdr>
      <w:divsChild>
        <w:div w:id="771902409">
          <w:marLeft w:val="0"/>
          <w:marRight w:val="0"/>
          <w:marTop w:val="0"/>
          <w:marBottom w:val="0"/>
          <w:divBdr>
            <w:top w:val="none" w:sz="0" w:space="0" w:color="auto"/>
            <w:left w:val="none" w:sz="0" w:space="0" w:color="auto"/>
            <w:bottom w:val="none" w:sz="0" w:space="0" w:color="auto"/>
            <w:right w:val="none" w:sz="0" w:space="0" w:color="auto"/>
          </w:divBdr>
          <w:divsChild>
            <w:div w:id="33694894">
              <w:marLeft w:val="0"/>
              <w:marRight w:val="0"/>
              <w:marTop w:val="0"/>
              <w:marBottom w:val="0"/>
              <w:divBdr>
                <w:top w:val="none" w:sz="0" w:space="0" w:color="auto"/>
                <w:left w:val="none" w:sz="0" w:space="0" w:color="auto"/>
                <w:bottom w:val="none" w:sz="0" w:space="0" w:color="auto"/>
                <w:right w:val="none" w:sz="0" w:space="0" w:color="auto"/>
              </w:divBdr>
              <w:divsChild>
                <w:div w:id="2708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78640">
      <w:bodyDiv w:val="1"/>
      <w:marLeft w:val="0"/>
      <w:marRight w:val="0"/>
      <w:marTop w:val="0"/>
      <w:marBottom w:val="0"/>
      <w:divBdr>
        <w:top w:val="none" w:sz="0" w:space="0" w:color="auto"/>
        <w:left w:val="none" w:sz="0" w:space="0" w:color="auto"/>
        <w:bottom w:val="none" w:sz="0" w:space="0" w:color="auto"/>
        <w:right w:val="none" w:sz="0" w:space="0" w:color="auto"/>
      </w:divBdr>
      <w:divsChild>
        <w:div w:id="1574778540">
          <w:marLeft w:val="0"/>
          <w:marRight w:val="0"/>
          <w:marTop w:val="0"/>
          <w:marBottom w:val="0"/>
          <w:divBdr>
            <w:top w:val="none" w:sz="0" w:space="0" w:color="auto"/>
            <w:left w:val="none" w:sz="0" w:space="0" w:color="auto"/>
            <w:bottom w:val="none" w:sz="0" w:space="0" w:color="auto"/>
            <w:right w:val="none" w:sz="0" w:space="0" w:color="auto"/>
          </w:divBdr>
          <w:divsChild>
            <w:div w:id="171530032">
              <w:marLeft w:val="0"/>
              <w:marRight w:val="0"/>
              <w:marTop w:val="0"/>
              <w:marBottom w:val="0"/>
              <w:divBdr>
                <w:top w:val="none" w:sz="0" w:space="0" w:color="auto"/>
                <w:left w:val="none" w:sz="0" w:space="0" w:color="auto"/>
                <w:bottom w:val="none" w:sz="0" w:space="0" w:color="auto"/>
                <w:right w:val="none" w:sz="0" w:space="0" w:color="auto"/>
              </w:divBdr>
              <w:divsChild>
                <w:div w:id="16982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2395">
      <w:bodyDiv w:val="1"/>
      <w:marLeft w:val="0"/>
      <w:marRight w:val="0"/>
      <w:marTop w:val="0"/>
      <w:marBottom w:val="0"/>
      <w:divBdr>
        <w:top w:val="none" w:sz="0" w:space="0" w:color="auto"/>
        <w:left w:val="none" w:sz="0" w:space="0" w:color="auto"/>
        <w:bottom w:val="none" w:sz="0" w:space="0" w:color="auto"/>
        <w:right w:val="none" w:sz="0" w:space="0" w:color="auto"/>
      </w:divBdr>
      <w:divsChild>
        <w:div w:id="1525245021">
          <w:marLeft w:val="0"/>
          <w:marRight w:val="0"/>
          <w:marTop w:val="0"/>
          <w:marBottom w:val="0"/>
          <w:divBdr>
            <w:top w:val="none" w:sz="0" w:space="0" w:color="auto"/>
            <w:left w:val="none" w:sz="0" w:space="0" w:color="auto"/>
            <w:bottom w:val="none" w:sz="0" w:space="0" w:color="auto"/>
            <w:right w:val="none" w:sz="0" w:space="0" w:color="auto"/>
          </w:divBdr>
          <w:divsChild>
            <w:div w:id="664669074">
              <w:marLeft w:val="0"/>
              <w:marRight w:val="0"/>
              <w:marTop w:val="0"/>
              <w:marBottom w:val="0"/>
              <w:divBdr>
                <w:top w:val="none" w:sz="0" w:space="0" w:color="auto"/>
                <w:left w:val="none" w:sz="0" w:space="0" w:color="auto"/>
                <w:bottom w:val="none" w:sz="0" w:space="0" w:color="auto"/>
                <w:right w:val="none" w:sz="0" w:space="0" w:color="auto"/>
              </w:divBdr>
              <w:divsChild>
                <w:div w:id="19902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1100">
      <w:bodyDiv w:val="1"/>
      <w:marLeft w:val="0"/>
      <w:marRight w:val="0"/>
      <w:marTop w:val="0"/>
      <w:marBottom w:val="0"/>
      <w:divBdr>
        <w:top w:val="none" w:sz="0" w:space="0" w:color="auto"/>
        <w:left w:val="none" w:sz="0" w:space="0" w:color="auto"/>
        <w:bottom w:val="none" w:sz="0" w:space="0" w:color="auto"/>
        <w:right w:val="none" w:sz="0" w:space="0" w:color="auto"/>
      </w:divBdr>
    </w:div>
    <w:div w:id="2001999646">
      <w:bodyDiv w:val="1"/>
      <w:marLeft w:val="0"/>
      <w:marRight w:val="0"/>
      <w:marTop w:val="0"/>
      <w:marBottom w:val="0"/>
      <w:divBdr>
        <w:top w:val="none" w:sz="0" w:space="0" w:color="auto"/>
        <w:left w:val="none" w:sz="0" w:space="0" w:color="auto"/>
        <w:bottom w:val="none" w:sz="0" w:space="0" w:color="auto"/>
        <w:right w:val="none" w:sz="0" w:space="0" w:color="auto"/>
      </w:divBdr>
      <w:divsChild>
        <w:div w:id="1601911658">
          <w:marLeft w:val="0"/>
          <w:marRight w:val="0"/>
          <w:marTop w:val="0"/>
          <w:marBottom w:val="0"/>
          <w:divBdr>
            <w:top w:val="none" w:sz="0" w:space="0" w:color="auto"/>
            <w:left w:val="none" w:sz="0" w:space="0" w:color="auto"/>
            <w:bottom w:val="none" w:sz="0" w:space="0" w:color="auto"/>
            <w:right w:val="none" w:sz="0" w:space="0" w:color="auto"/>
          </w:divBdr>
          <w:divsChild>
            <w:div w:id="1172530876">
              <w:marLeft w:val="0"/>
              <w:marRight w:val="0"/>
              <w:marTop w:val="0"/>
              <w:marBottom w:val="0"/>
              <w:divBdr>
                <w:top w:val="none" w:sz="0" w:space="0" w:color="auto"/>
                <w:left w:val="none" w:sz="0" w:space="0" w:color="auto"/>
                <w:bottom w:val="none" w:sz="0" w:space="0" w:color="auto"/>
                <w:right w:val="none" w:sz="0" w:space="0" w:color="auto"/>
              </w:divBdr>
              <w:divsChild>
                <w:div w:id="13678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96990">
      <w:bodyDiv w:val="1"/>
      <w:marLeft w:val="0"/>
      <w:marRight w:val="0"/>
      <w:marTop w:val="0"/>
      <w:marBottom w:val="0"/>
      <w:divBdr>
        <w:top w:val="none" w:sz="0" w:space="0" w:color="auto"/>
        <w:left w:val="none" w:sz="0" w:space="0" w:color="auto"/>
        <w:bottom w:val="none" w:sz="0" w:space="0" w:color="auto"/>
        <w:right w:val="none" w:sz="0" w:space="0" w:color="auto"/>
      </w:divBdr>
      <w:divsChild>
        <w:div w:id="553084388">
          <w:marLeft w:val="0"/>
          <w:marRight w:val="0"/>
          <w:marTop w:val="0"/>
          <w:marBottom w:val="0"/>
          <w:divBdr>
            <w:top w:val="none" w:sz="0" w:space="0" w:color="auto"/>
            <w:left w:val="none" w:sz="0" w:space="0" w:color="auto"/>
            <w:bottom w:val="none" w:sz="0" w:space="0" w:color="auto"/>
            <w:right w:val="none" w:sz="0" w:space="0" w:color="auto"/>
          </w:divBdr>
          <w:divsChild>
            <w:div w:id="1271282339">
              <w:marLeft w:val="0"/>
              <w:marRight w:val="0"/>
              <w:marTop w:val="0"/>
              <w:marBottom w:val="0"/>
              <w:divBdr>
                <w:top w:val="none" w:sz="0" w:space="0" w:color="auto"/>
                <w:left w:val="none" w:sz="0" w:space="0" w:color="auto"/>
                <w:bottom w:val="none" w:sz="0" w:space="0" w:color="auto"/>
                <w:right w:val="none" w:sz="0" w:space="0" w:color="auto"/>
              </w:divBdr>
              <w:divsChild>
                <w:div w:id="1558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1928">
      <w:bodyDiv w:val="1"/>
      <w:marLeft w:val="0"/>
      <w:marRight w:val="0"/>
      <w:marTop w:val="0"/>
      <w:marBottom w:val="0"/>
      <w:divBdr>
        <w:top w:val="none" w:sz="0" w:space="0" w:color="auto"/>
        <w:left w:val="none" w:sz="0" w:space="0" w:color="auto"/>
        <w:bottom w:val="none" w:sz="0" w:space="0" w:color="auto"/>
        <w:right w:val="none" w:sz="0" w:space="0" w:color="auto"/>
      </w:divBdr>
      <w:divsChild>
        <w:div w:id="1060594114">
          <w:marLeft w:val="0"/>
          <w:marRight w:val="0"/>
          <w:marTop w:val="0"/>
          <w:marBottom w:val="0"/>
          <w:divBdr>
            <w:top w:val="none" w:sz="0" w:space="0" w:color="auto"/>
            <w:left w:val="none" w:sz="0" w:space="0" w:color="auto"/>
            <w:bottom w:val="none" w:sz="0" w:space="0" w:color="auto"/>
            <w:right w:val="none" w:sz="0" w:space="0" w:color="auto"/>
          </w:divBdr>
          <w:divsChild>
            <w:div w:id="1621641289">
              <w:marLeft w:val="0"/>
              <w:marRight w:val="0"/>
              <w:marTop w:val="0"/>
              <w:marBottom w:val="0"/>
              <w:divBdr>
                <w:top w:val="none" w:sz="0" w:space="0" w:color="auto"/>
                <w:left w:val="none" w:sz="0" w:space="0" w:color="auto"/>
                <w:bottom w:val="none" w:sz="0" w:space="0" w:color="auto"/>
                <w:right w:val="none" w:sz="0" w:space="0" w:color="auto"/>
              </w:divBdr>
              <w:divsChild>
                <w:div w:id="1511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6617">
      <w:bodyDiv w:val="1"/>
      <w:marLeft w:val="0"/>
      <w:marRight w:val="0"/>
      <w:marTop w:val="0"/>
      <w:marBottom w:val="0"/>
      <w:divBdr>
        <w:top w:val="none" w:sz="0" w:space="0" w:color="auto"/>
        <w:left w:val="none" w:sz="0" w:space="0" w:color="auto"/>
        <w:bottom w:val="none" w:sz="0" w:space="0" w:color="auto"/>
        <w:right w:val="none" w:sz="0" w:space="0" w:color="auto"/>
      </w:divBdr>
      <w:divsChild>
        <w:div w:id="38827556">
          <w:marLeft w:val="0"/>
          <w:marRight w:val="0"/>
          <w:marTop w:val="0"/>
          <w:marBottom w:val="0"/>
          <w:divBdr>
            <w:top w:val="none" w:sz="0" w:space="0" w:color="auto"/>
            <w:left w:val="none" w:sz="0" w:space="0" w:color="auto"/>
            <w:bottom w:val="none" w:sz="0" w:space="0" w:color="auto"/>
            <w:right w:val="none" w:sz="0" w:space="0" w:color="auto"/>
          </w:divBdr>
          <w:divsChild>
            <w:div w:id="1895577237">
              <w:marLeft w:val="0"/>
              <w:marRight w:val="0"/>
              <w:marTop w:val="0"/>
              <w:marBottom w:val="0"/>
              <w:divBdr>
                <w:top w:val="none" w:sz="0" w:space="0" w:color="auto"/>
                <w:left w:val="none" w:sz="0" w:space="0" w:color="auto"/>
                <w:bottom w:val="none" w:sz="0" w:space="0" w:color="auto"/>
                <w:right w:val="none" w:sz="0" w:space="0" w:color="auto"/>
              </w:divBdr>
              <w:divsChild>
                <w:div w:id="21167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3185">
      <w:bodyDiv w:val="1"/>
      <w:marLeft w:val="0"/>
      <w:marRight w:val="0"/>
      <w:marTop w:val="0"/>
      <w:marBottom w:val="0"/>
      <w:divBdr>
        <w:top w:val="none" w:sz="0" w:space="0" w:color="auto"/>
        <w:left w:val="none" w:sz="0" w:space="0" w:color="auto"/>
        <w:bottom w:val="none" w:sz="0" w:space="0" w:color="auto"/>
        <w:right w:val="none" w:sz="0" w:space="0" w:color="auto"/>
      </w:divBdr>
      <w:divsChild>
        <w:div w:id="373310423">
          <w:marLeft w:val="0"/>
          <w:marRight w:val="0"/>
          <w:marTop w:val="0"/>
          <w:marBottom w:val="0"/>
          <w:divBdr>
            <w:top w:val="none" w:sz="0" w:space="0" w:color="auto"/>
            <w:left w:val="none" w:sz="0" w:space="0" w:color="auto"/>
            <w:bottom w:val="none" w:sz="0" w:space="0" w:color="auto"/>
            <w:right w:val="none" w:sz="0" w:space="0" w:color="auto"/>
          </w:divBdr>
          <w:divsChild>
            <w:div w:id="2009598971">
              <w:marLeft w:val="0"/>
              <w:marRight w:val="0"/>
              <w:marTop w:val="0"/>
              <w:marBottom w:val="0"/>
              <w:divBdr>
                <w:top w:val="none" w:sz="0" w:space="0" w:color="auto"/>
                <w:left w:val="none" w:sz="0" w:space="0" w:color="auto"/>
                <w:bottom w:val="none" w:sz="0" w:space="0" w:color="auto"/>
                <w:right w:val="none" w:sz="0" w:space="0" w:color="auto"/>
              </w:divBdr>
              <w:divsChild>
                <w:div w:id="18839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2513">
          <w:marLeft w:val="0"/>
          <w:marRight w:val="0"/>
          <w:marTop w:val="0"/>
          <w:marBottom w:val="0"/>
          <w:divBdr>
            <w:top w:val="none" w:sz="0" w:space="0" w:color="auto"/>
            <w:left w:val="none" w:sz="0" w:space="0" w:color="auto"/>
            <w:bottom w:val="none" w:sz="0" w:space="0" w:color="auto"/>
            <w:right w:val="none" w:sz="0" w:space="0" w:color="auto"/>
          </w:divBdr>
          <w:divsChild>
            <w:div w:id="1811169477">
              <w:marLeft w:val="0"/>
              <w:marRight w:val="0"/>
              <w:marTop w:val="0"/>
              <w:marBottom w:val="0"/>
              <w:divBdr>
                <w:top w:val="none" w:sz="0" w:space="0" w:color="auto"/>
                <w:left w:val="none" w:sz="0" w:space="0" w:color="auto"/>
                <w:bottom w:val="none" w:sz="0" w:space="0" w:color="auto"/>
                <w:right w:val="none" w:sz="0" w:space="0" w:color="auto"/>
              </w:divBdr>
              <w:divsChild>
                <w:div w:id="4100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50949">
      <w:bodyDiv w:val="1"/>
      <w:marLeft w:val="0"/>
      <w:marRight w:val="0"/>
      <w:marTop w:val="0"/>
      <w:marBottom w:val="0"/>
      <w:divBdr>
        <w:top w:val="none" w:sz="0" w:space="0" w:color="auto"/>
        <w:left w:val="none" w:sz="0" w:space="0" w:color="auto"/>
        <w:bottom w:val="none" w:sz="0" w:space="0" w:color="auto"/>
        <w:right w:val="none" w:sz="0" w:space="0" w:color="auto"/>
      </w:divBdr>
      <w:divsChild>
        <w:div w:id="951328827">
          <w:marLeft w:val="0"/>
          <w:marRight w:val="0"/>
          <w:marTop w:val="0"/>
          <w:marBottom w:val="0"/>
          <w:divBdr>
            <w:top w:val="none" w:sz="0" w:space="0" w:color="auto"/>
            <w:left w:val="none" w:sz="0" w:space="0" w:color="auto"/>
            <w:bottom w:val="none" w:sz="0" w:space="0" w:color="auto"/>
            <w:right w:val="none" w:sz="0" w:space="0" w:color="auto"/>
          </w:divBdr>
          <w:divsChild>
            <w:div w:id="919296321">
              <w:marLeft w:val="0"/>
              <w:marRight w:val="0"/>
              <w:marTop w:val="0"/>
              <w:marBottom w:val="0"/>
              <w:divBdr>
                <w:top w:val="none" w:sz="0" w:space="0" w:color="auto"/>
                <w:left w:val="none" w:sz="0" w:space="0" w:color="auto"/>
                <w:bottom w:val="none" w:sz="0" w:space="0" w:color="auto"/>
                <w:right w:val="none" w:sz="0" w:space="0" w:color="auto"/>
              </w:divBdr>
              <w:divsChild>
                <w:div w:id="97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6040">
      <w:bodyDiv w:val="1"/>
      <w:marLeft w:val="0"/>
      <w:marRight w:val="0"/>
      <w:marTop w:val="0"/>
      <w:marBottom w:val="0"/>
      <w:divBdr>
        <w:top w:val="none" w:sz="0" w:space="0" w:color="auto"/>
        <w:left w:val="none" w:sz="0" w:space="0" w:color="auto"/>
        <w:bottom w:val="none" w:sz="0" w:space="0" w:color="auto"/>
        <w:right w:val="none" w:sz="0" w:space="0" w:color="auto"/>
      </w:divBdr>
      <w:divsChild>
        <w:div w:id="1789472000">
          <w:marLeft w:val="0"/>
          <w:marRight w:val="0"/>
          <w:marTop w:val="0"/>
          <w:marBottom w:val="0"/>
          <w:divBdr>
            <w:top w:val="none" w:sz="0" w:space="0" w:color="auto"/>
            <w:left w:val="none" w:sz="0" w:space="0" w:color="auto"/>
            <w:bottom w:val="none" w:sz="0" w:space="0" w:color="auto"/>
            <w:right w:val="none" w:sz="0" w:space="0" w:color="auto"/>
          </w:divBdr>
          <w:divsChild>
            <w:div w:id="801577658">
              <w:marLeft w:val="0"/>
              <w:marRight w:val="0"/>
              <w:marTop w:val="0"/>
              <w:marBottom w:val="0"/>
              <w:divBdr>
                <w:top w:val="none" w:sz="0" w:space="0" w:color="auto"/>
                <w:left w:val="none" w:sz="0" w:space="0" w:color="auto"/>
                <w:bottom w:val="none" w:sz="0" w:space="0" w:color="auto"/>
                <w:right w:val="none" w:sz="0" w:space="0" w:color="auto"/>
              </w:divBdr>
              <w:divsChild>
                <w:div w:id="2035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7488">
      <w:bodyDiv w:val="1"/>
      <w:marLeft w:val="0"/>
      <w:marRight w:val="0"/>
      <w:marTop w:val="0"/>
      <w:marBottom w:val="0"/>
      <w:divBdr>
        <w:top w:val="none" w:sz="0" w:space="0" w:color="auto"/>
        <w:left w:val="none" w:sz="0" w:space="0" w:color="auto"/>
        <w:bottom w:val="none" w:sz="0" w:space="0" w:color="auto"/>
        <w:right w:val="none" w:sz="0" w:space="0" w:color="auto"/>
      </w:divBdr>
      <w:divsChild>
        <w:div w:id="936408179">
          <w:marLeft w:val="0"/>
          <w:marRight w:val="0"/>
          <w:marTop w:val="0"/>
          <w:marBottom w:val="0"/>
          <w:divBdr>
            <w:top w:val="none" w:sz="0" w:space="0" w:color="auto"/>
            <w:left w:val="none" w:sz="0" w:space="0" w:color="auto"/>
            <w:bottom w:val="none" w:sz="0" w:space="0" w:color="auto"/>
            <w:right w:val="none" w:sz="0" w:space="0" w:color="auto"/>
          </w:divBdr>
          <w:divsChild>
            <w:div w:id="1841967472">
              <w:marLeft w:val="0"/>
              <w:marRight w:val="0"/>
              <w:marTop w:val="0"/>
              <w:marBottom w:val="0"/>
              <w:divBdr>
                <w:top w:val="none" w:sz="0" w:space="0" w:color="auto"/>
                <w:left w:val="none" w:sz="0" w:space="0" w:color="auto"/>
                <w:bottom w:val="none" w:sz="0" w:space="0" w:color="auto"/>
                <w:right w:val="none" w:sz="0" w:space="0" w:color="auto"/>
              </w:divBdr>
              <w:divsChild>
                <w:div w:id="21083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01079">
      <w:bodyDiv w:val="1"/>
      <w:marLeft w:val="0"/>
      <w:marRight w:val="0"/>
      <w:marTop w:val="0"/>
      <w:marBottom w:val="0"/>
      <w:divBdr>
        <w:top w:val="none" w:sz="0" w:space="0" w:color="auto"/>
        <w:left w:val="none" w:sz="0" w:space="0" w:color="auto"/>
        <w:bottom w:val="none" w:sz="0" w:space="0" w:color="auto"/>
        <w:right w:val="none" w:sz="0" w:space="0" w:color="auto"/>
      </w:divBdr>
      <w:divsChild>
        <w:div w:id="158230699">
          <w:marLeft w:val="0"/>
          <w:marRight w:val="0"/>
          <w:marTop w:val="0"/>
          <w:marBottom w:val="0"/>
          <w:divBdr>
            <w:top w:val="none" w:sz="0" w:space="0" w:color="auto"/>
            <w:left w:val="none" w:sz="0" w:space="0" w:color="auto"/>
            <w:bottom w:val="none" w:sz="0" w:space="0" w:color="auto"/>
            <w:right w:val="none" w:sz="0" w:space="0" w:color="auto"/>
          </w:divBdr>
          <w:divsChild>
            <w:div w:id="1902860801">
              <w:marLeft w:val="0"/>
              <w:marRight w:val="0"/>
              <w:marTop w:val="0"/>
              <w:marBottom w:val="0"/>
              <w:divBdr>
                <w:top w:val="none" w:sz="0" w:space="0" w:color="auto"/>
                <w:left w:val="none" w:sz="0" w:space="0" w:color="auto"/>
                <w:bottom w:val="none" w:sz="0" w:space="0" w:color="auto"/>
                <w:right w:val="none" w:sz="0" w:space="0" w:color="auto"/>
              </w:divBdr>
              <w:divsChild>
                <w:div w:id="9909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1943">
      <w:bodyDiv w:val="1"/>
      <w:marLeft w:val="0"/>
      <w:marRight w:val="0"/>
      <w:marTop w:val="0"/>
      <w:marBottom w:val="0"/>
      <w:divBdr>
        <w:top w:val="none" w:sz="0" w:space="0" w:color="auto"/>
        <w:left w:val="none" w:sz="0" w:space="0" w:color="auto"/>
        <w:bottom w:val="none" w:sz="0" w:space="0" w:color="auto"/>
        <w:right w:val="none" w:sz="0" w:space="0" w:color="auto"/>
      </w:divBdr>
      <w:divsChild>
        <w:div w:id="328562664">
          <w:marLeft w:val="0"/>
          <w:marRight w:val="0"/>
          <w:marTop w:val="0"/>
          <w:marBottom w:val="0"/>
          <w:divBdr>
            <w:top w:val="none" w:sz="0" w:space="0" w:color="auto"/>
            <w:left w:val="none" w:sz="0" w:space="0" w:color="auto"/>
            <w:bottom w:val="none" w:sz="0" w:space="0" w:color="auto"/>
            <w:right w:val="none" w:sz="0" w:space="0" w:color="auto"/>
          </w:divBdr>
          <w:divsChild>
            <w:div w:id="2085757773">
              <w:marLeft w:val="0"/>
              <w:marRight w:val="0"/>
              <w:marTop w:val="0"/>
              <w:marBottom w:val="0"/>
              <w:divBdr>
                <w:top w:val="none" w:sz="0" w:space="0" w:color="auto"/>
                <w:left w:val="none" w:sz="0" w:space="0" w:color="auto"/>
                <w:bottom w:val="none" w:sz="0" w:space="0" w:color="auto"/>
                <w:right w:val="none" w:sz="0" w:space="0" w:color="auto"/>
              </w:divBdr>
            </w:div>
            <w:div w:id="1613241316">
              <w:marLeft w:val="0"/>
              <w:marRight w:val="0"/>
              <w:marTop w:val="0"/>
              <w:marBottom w:val="0"/>
              <w:divBdr>
                <w:top w:val="none" w:sz="0" w:space="0" w:color="auto"/>
                <w:left w:val="none" w:sz="0" w:space="0" w:color="auto"/>
                <w:bottom w:val="none" w:sz="0" w:space="0" w:color="auto"/>
                <w:right w:val="none" w:sz="0" w:space="0" w:color="auto"/>
              </w:divBdr>
            </w:div>
          </w:divsChild>
        </w:div>
        <w:div w:id="1005403504">
          <w:marLeft w:val="0"/>
          <w:marRight w:val="0"/>
          <w:marTop w:val="0"/>
          <w:marBottom w:val="0"/>
          <w:divBdr>
            <w:top w:val="none" w:sz="0" w:space="0" w:color="auto"/>
            <w:left w:val="none" w:sz="0" w:space="0" w:color="auto"/>
            <w:bottom w:val="none" w:sz="0" w:space="0" w:color="auto"/>
            <w:right w:val="none" w:sz="0" w:space="0" w:color="auto"/>
          </w:divBdr>
        </w:div>
        <w:div w:id="487750690">
          <w:marLeft w:val="0"/>
          <w:marRight w:val="0"/>
          <w:marTop w:val="0"/>
          <w:marBottom w:val="0"/>
          <w:divBdr>
            <w:top w:val="none" w:sz="0" w:space="0" w:color="auto"/>
            <w:left w:val="none" w:sz="0" w:space="0" w:color="auto"/>
            <w:bottom w:val="none" w:sz="0" w:space="0" w:color="auto"/>
            <w:right w:val="none" w:sz="0" w:space="0" w:color="auto"/>
          </w:divBdr>
        </w:div>
        <w:div w:id="1168138578">
          <w:marLeft w:val="0"/>
          <w:marRight w:val="0"/>
          <w:marTop w:val="0"/>
          <w:marBottom w:val="0"/>
          <w:divBdr>
            <w:top w:val="none" w:sz="0" w:space="0" w:color="auto"/>
            <w:left w:val="none" w:sz="0" w:space="0" w:color="auto"/>
            <w:bottom w:val="none" w:sz="0" w:space="0" w:color="auto"/>
            <w:right w:val="none" w:sz="0" w:space="0" w:color="auto"/>
          </w:divBdr>
        </w:div>
        <w:div w:id="449520724">
          <w:marLeft w:val="0"/>
          <w:marRight w:val="0"/>
          <w:marTop w:val="0"/>
          <w:marBottom w:val="0"/>
          <w:divBdr>
            <w:top w:val="none" w:sz="0" w:space="0" w:color="auto"/>
            <w:left w:val="none" w:sz="0" w:space="0" w:color="auto"/>
            <w:bottom w:val="none" w:sz="0" w:space="0" w:color="auto"/>
            <w:right w:val="none" w:sz="0" w:space="0" w:color="auto"/>
          </w:divBdr>
        </w:div>
        <w:div w:id="829179976">
          <w:marLeft w:val="0"/>
          <w:marRight w:val="0"/>
          <w:marTop w:val="0"/>
          <w:marBottom w:val="0"/>
          <w:divBdr>
            <w:top w:val="none" w:sz="0" w:space="0" w:color="auto"/>
            <w:left w:val="none" w:sz="0" w:space="0" w:color="auto"/>
            <w:bottom w:val="none" w:sz="0" w:space="0" w:color="auto"/>
            <w:right w:val="none" w:sz="0" w:space="0" w:color="auto"/>
          </w:divBdr>
        </w:div>
        <w:div w:id="376860596">
          <w:marLeft w:val="0"/>
          <w:marRight w:val="0"/>
          <w:marTop w:val="0"/>
          <w:marBottom w:val="0"/>
          <w:divBdr>
            <w:top w:val="none" w:sz="0" w:space="0" w:color="auto"/>
            <w:left w:val="none" w:sz="0" w:space="0" w:color="auto"/>
            <w:bottom w:val="none" w:sz="0" w:space="0" w:color="auto"/>
            <w:right w:val="none" w:sz="0" w:space="0" w:color="auto"/>
          </w:divBdr>
        </w:div>
      </w:divsChild>
    </w:div>
    <w:div w:id="2100902344">
      <w:bodyDiv w:val="1"/>
      <w:marLeft w:val="0"/>
      <w:marRight w:val="0"/>
      <w:marTop w:val="0"/>
      <w:marBottom w:val="0"/>
      <w:divBdr>
        <w:top w:val="none" w:sz="0" w:space="0" w:color="auto"/>
        <w:left w:val="none" w:sz="0" w:space="0" w:color="auto"/>
        <w:bottom w:val="none" w:sz="0" w:space="0" w:color="auto"/>
        <w:right w:val="none" w:sz="0" w:space="0" w:color="auto"/>
      </w:divBdr>
      <w:divsChild>
        <w:div w:id="842234058">
          <w:marLeft w:val="0"/>
          <w:marRight w:val="0"/>
          <w:marTop w:val="0"/>
          <w:marBottom w:val="0"/>
          <w:divBdr>
            <w:top w:val="none" w:sz="0" w:space="0" w:color="auto"/>
            <w:left w:val="none" w:sz="0" w:space="0" w:color="auto"/>
            <w:bottom w:val="none" w:sz="0" w:space="0" w:color="auto"/>
            <w:right w:val="none" w:sz="0" w:space="0" w:color="auto"/>
          </w:divBdr>
          <w:divsChild>
            <w:div w:id="40793344">
              <w:marLeft w:val="0"/>
              <w:marRight w:val="0"/>
              <w:marTop w:val="0"/>
              <w:marBottom w:val="0"/>
              <w:divBdr>
                <w:top w:val="none" w:sz="0" w:space="0" w:color="auto"/>
                <w:left w:val="none" w:sz="0" w:space="0" w:color="auto"/>
                <w:bottom w:val="none" w:sz="0" w:space="0" w:color="auto"/>
                <w:right w:val="none" w:sz="0" w:space="0" w:color="auto"/>
              </w:divBdr>
              <w:divsChild>
                <w:div w:id="970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1078">
      <w:bodyDiv w:val="1"/>
      <w:marLeft w:val="0"/>
      <w:marRight w:val="0"/>
      <w:marTop w:val="0"/>
      <w:marBottom w:val="0"/>
      <w:divBdr>
        <w:top w:val="none" w:sz="0" w:space="0" w:color="auto"/>
        <w:left w:val="none" w:sz="0" w:space="0" w:color="auto"/>
        <w:bottom w:val="none" w:sz="0" w:space="0" w:color="auto"/>
        <w:right w:val="none" w:sz="0" w:space="0" w:color="auto"/>
      </w:divBdr>
      <w:divsChild>
        <w:div w:id="2073193753">
          <w:marLeft w:val="0"/>
          <w:marRight w:val="0"/>
          <w:marTop w:val="0"/>
          <w:marBottom w:val="0"/>
          <w:divBdr>
            <w:top w:val="none" w:sz="0" w:space="0" w:color="auto"/>
            <w:left w:val="none" w:sz="0" w:space="0" w:color="auto"/>
            <w:bottom w:val="none" w:sz="0" w:space="0" w:color="auto"/>
            <w:right w:val="none" w:sz="0" w:space="0" w:color="auto"/>
          </w:divBdr>
          <w:divsChild>
            <w:div w:id="678702690">
              <w:marLeft w:val="0"/>
              <w:marRight w:val="0"/>
              <w:marTop w:val="0"/>
              <w:marBottom w:val="0"/>
              <w:divBdr>
                <w:top w:val="none" w:sz="0" w:space="0" w:color="auto"/>
                <w:left w:val="none" w:sz="0" w:space="0" w:color="auto"/>
                <w:bottom w:val="none" w:sz="0" w:space="0" w:color="auto"/>
                <w:right w:val="none" w:sz="0" w:space="0" w:color="auto"/>
              </w:divBdr>
              <w:divsChild>
                <w:div w:id="3003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7967">
      <w:bodyDiv w:val="1"/>
      <w:marLeft w:val="0"/>
      <w:marRight w:val="0"/>
      <w:marTop w:val="0"/>
      <w:marBottom w:val="0"/>
      <w:divBdr>
        <w:top w:val="none" w:sz="0" w:space="0" w:color="auto"/>
        <w:left w:val="none" w:sz="0" w:space="0" w:color="auto"/>
        <w:bottom w:val="none" w:sz="0" w:space="0" w:color="auto"/>
        <w:right w:val="none" w:sz="0" w:space="0" w:color="auto"/>
      </w:divBdr>
      <w:divsChild>
        <w:div w:id="1823960535">
          <w:marLeft w:val="0"/>
          <w:marRight w:val="0"/>
          <w:marTop w:val="0"/>
          <w:marBottom w:val="0"/>
          <w:divBdr>
            <w:top w:val="none" w:sz="0" w:space="0" w:color="auto"/>
            <w:left w:val="none" w:sz="0" w:space="0" w:color="auto"/>
            <w:bottom w:val="none" w:sz="0" w:space="0" w:color="auto"/>
            <w:right w:val="none" w:sz="0" w:space="0" w:color="auto"/>
          </w:divBdr>
          <w:divsChild>
            <w:div w:id="1584291996">
              <w:marLeft w:val="0"/>
              <w:marRight w:val="0"/>
              <w:marTop w:val="0"/>
              <w:marBottom w:val="0"/>
              <w:divBdr>
                <w:top w:val="none" w:sz="0" w:space="0" w:color="auto"/>
                <w:left w:val="none" w:sz="0" w:space="0" w:color="auto"/>
                <w:bottom w:val="none" w:sz="0" w:space="0" w:color="auto"/>
                <w:right w:val="none" w:sz="0" w:space="0" w:color="auto"/>
              </w:divBdr>
              <w:divsChild>
                <w:div w:id="2531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5E93-7C7C-4971-9C17-9356A92C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26843</Words>
  <Characters>147641</Characters>
  <Application>Microsoft Office Word</Application>
  <DocSecurity>0</DocSecurity>
  <Lines>1230</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Cruz Miranda</dc:creator>
  <cp:keywords/>
  <dc:description/>
  <cp:lastModifiedBy>Liliana Cabrera Moscoso</cp:lastModifiedBy>
  <cp:revision>2</cp:revision>
  <cp:lastPrinted>2022-09-21T17:52:00Z</cp:lastPrinted>
  <dcterms:created xsi:type="dcterms:W3CDTF">2023-01-17T18:14:00Z</dcterms:created>
  <dcterms:modified xsi:type="dcterms:W3CDTF">2023-01-17T18:14:00Z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http://www.zotero.org/styles/philosophiques</vt:lpwstr>
  </property>
  <property fmtid="{D5CDD505-2E9C-101B-9397-08002B2CF9AE}" pid="21" name="Mendeley Recent Style Name 9_1">
    <vt:lpwstr>Philosophiques (French)</vt:lpwstr>
  </property>
</Properties>
</file>